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黑体" w:eastAsia="方正小标宋_GBK"/>
          <w:bCs/>
          <w:sz w:val="44"/>
          <w:szCs w:val="44"/>
        </w:rPr>
      </w:pPr>
      <w:r>
        <w:rPr>
          <w:rFonts w:hint="eastAsia" w:ascii="方正小标宋_GBK" w:hAnsi="黑体" w:eastAsia="方正小标宋_GBK"/>
          <w:bCs/>
          <w:sz w:val="44"/>
          <w:szCs w:val="44"/>
        </w:rPr>
        <w:t>评分标准</w:t>
      </w:r>
    </w:p>
    <w:tbl>
      <w:tblPr>
        <w:tblStyle w:val="9"/>
        <w:tblpPr w:leftFromText="180" w:rightFromText="180" w:vertAnchor="text" w:horzAnchor="page" w:tblpXSpec="center" w:tblpY="451"/>
        <w:tblOverlap w:val="never"/>
        <w:tblW w:w="870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1151"/>
        <w:gridCol w:w="795"/>
        <w:gridCol w:w="1038"/>
        <w:gridCol w:w="50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pStyle w:val="12"/>
              <w:spacing w:line="269" w:lineRule="exact"/>
              <w:ind w:left="109"/>
              <w:jc w:val="center"/>
              <w:rPr>
                <w:rFonts w:ascii="Times New Roman" w:hAnsi="Times New Roman" w:eastAsia="宋体" w:cs="Times New Roman"/>
                <w:w w:val="104"/>
                <w:sz w:val="21"/>
                <w:lang w:val="en-US"/>
              </w:rPr>
            </w:pPr>
            <w:r>
              <w:rPr>
                <w:rFonts w:ascii="Times New Roman" w:hAnsi="Times New Roman" w:eastAsia="宋体" w:cs="Times New Roman"/>
                <w:w w:val="104"/>
                <w:sz w:val="21"/>
                <w:lang w:val="en-US"/>
              </w:rPr>
              <w:t>序号</w:t>
            </w:r>
          </w:p>
        </w:tc>
        <w:tc>
          <w:tcPr>
            <w:tcW w:w="11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pStyle w:val="12"/>
              <w:spacing w:line="269" w:lineRule="exact"/>
              <w:ind w:left="109"/>
              <w:jc w:val="center"/>
              <w:rPr>
                <w:rFonts w:ascii="Times New Roman" w:hAnsi="Times New Roman" w:eastAsia="宋体" w:cs="Times New Roman"/>
                <w:w w:val="104"/>
                <w:sz w:val="21"/>
                <w:lang w:val="en-US"/>
              </w:rPr>
            </w:pPr>
            <w:r>
              <w:rPr>
                <w:rFonts w:ascii="Times New Roman" w:hAnsi="Times New Roman" w:eastAsia="宋体" w:cs="Times New Roman"/>
                <w:w w:val="104"/>
                <w:sz w:val="21"/>
                <w:lang w:val="en-US"/>
              </w:rPr>
              <w:t>评分因素及权重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pStyle w:val="12"/>
              <w:spacing w:line="269" w:lineRule="exact"/>
              <w:ind w:left="109"/>
              <w:jc w:val="center"/>
              <w:rPr>
                <w:rFonts w:ascii="Times New Roman" w:hAnsi="Times New Roman" w:eastAsia="宋体" w:cs="Times New Roman"/>
                <w:w w:val="104"/>
                <w:sz w:val="21"/>
                <w:lang w:val="en-US"/>
              </w:rPr>
            </w:pPr>
            <w:r>
              <w:rPr>
                <w:rFonts w:ascii="Times New Roman" w:hAnsi="Times New Roman" w:eastAsia="宋体" w:cs="Times New Roman"/>
                <w:w w:val="104"/>
                <w:sz w:val="21"/>
                <w:lang w:val="en-US"/>
              </w:rPr>
              <w:t>分</w:t>
            </w:r>
          </w:p>
          <w:p>
            <w:pPr>
              <w:pStyle w:val="12"/>
              <w:spacing w:line="269" w:lineRule="exact"/>
              <w:ind w:left="109"/>
              <w:jc w:val="center"/>
              <w:rPr>
                <w:rFonts w:ascii="Times New Roman" w:hAnsi="Times New Roman" w:eastAsia="宋体" w:cs="Times New Roman"/>
                <w:w w:val="104"/>
                <w:sz w:val="21"/>
                <w:lang w:val="en-US"/>
              </w:rPr>
            </w:pPr>
            <w:r>
              <w:rPr>
                <w:rFonts w:ascii="Times New Roman" w:hAnsi="Times New Roman" w:eastAsia="宋体" w:cs="Times New Roman"/>
                <w:sz w:val="21"/>
                <w:lang w:val="en-US"/>
              </w:rPr>
              <w:t>值</w:t>
            </w:r>
          </w:p>
        </w:tc>
        <w:tc>
          <w:tcPr>
            <w:tcW w:w="610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pStyle w:val="12"/>
              <w:spacing w:line="269" w:lineRule="exact"/>
              <w:ind w:left="109"/>
              <w:jc w:val="center"/>
              <w:rPr>
                <w:rFonts w:ascii="Times New Roman" w:hAnsi="Times New Roman" w:eastAsia="宋体" w:cs="Times New Roman"/>
                <w:w w:val="104"/>
                <w:sz w:val="21"/>
                <w:lang w:val="en-US"/>
              </w:rPr>
            </w:pPr>
            <w:r>
              <w:rPr>
                <w:rFonts w:ascii="Times New Roman" w:hAnsi="Times New Roman" w:eastAsia="宋体" w:cs="Times New Roman"/>
                <w:w w:val="104"/>
                <w:sz w:val="21"/>
                <w:lang w:val="en-US"/>
              </w:rPr>
              <w:t>评分标准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w w:val="114"/>
                <w:sz w:val="21"/>
              </w:rPr>
              <w:t>1</w:t>
            </w:r>
          </w:p>
        </w:tc>
        <w:tc>
          <w:tcPr>
            <w:tcW w:w="1151" w:type="dxa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pStyle w:val="12"/>
              <w:spacing w:line="301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价格部分</w:t>
            </w:r>
          </w:p>
          <w:p>
            <w:pPr>
              <w:pStyle w:val="12"/>
              <w:jc w:val="center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w w:val="104"/>
                <w:sz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w w:val="104"/>
                <w:sz w:val="21"/>
              </w:rPr>
              <w:t>2</w:t>
            </w:r>
            <w:r>
              <w:rPr>
                <w:rFonts w:ascii="Times New Roman" w:hAnsi="Times New Roman" w:eastAsia="宋体" w:cs="Times New Roman"/>
                <w:w w:val="104"/>
                <w:sz w:val="21"/>
              </w:rPr>
              <w:t>0%）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w w:val="115"/>
                <w:sz w:val="21"/>
              </w:rPr>
              <w:t>2</w:t>
            </w:r>
            <w:r>
              <w:rPr>
                <w:rFonts w:ascii="Times New Roman" w:hAnsi="Times New Roman" w:eastAsia="宋体" w:cs="Times New Roman"/>
                <w:w w:val="115"/>
                <w:sz w:val="21"/>
              </w:rPr>
              <w:t>0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报价</w:t>
            </w:r>
          </w:p>
        </w:tc>
        <w:tc>
          <w:tcPr>
            <w:tcW w:w="5066" w:type="dxa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pStyle w:val="12"/>
              <w:spacing w:line="269" w:lineRule="exact"/>
              <w:rPr>
                <w:rFonts w:ascii="Times New Roman" w:hAnsi="Times New Roman" w:eastAsia="宋体" w:cs="Times New Roman"/>
                <w:w w:val="104"/>
                <w:sz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w w:val="104"/>
                <w:sz w:val="21"/>
                <w:lang w:val="en-US"/>
              </w:rPr>
              <w:t>1.</w:t>
            </w:r>
            <w:r>
              <w:rPr>
                <w:rFonts w:ascii="Times New Roman" w:hAnsi="Times New Roman" w:eastAsia="宋体" w:cs="Times New Roman"/>
                <w:w w:val="104"/>
                <w:sz w:val="21"/>
                <w:lang w:val="en-US"/>
              </w:rPr>
              <w:t>价格分计算规则以有效报价的</w:t>
            </w:r>
            <w:r>
              <w:rPr>
                <w:rFonts w:hint="eastAsia" w:ascii="Times New Roman" w:hAnsi="Times New Roman" w:eastAsia="宋体" w:cs="Times New Roman"/>
                <w:w w:val="104"/>
                <w:sz w:val="21"/>
                <w:lang w:val="en-US"/>
              </w:rPr>
              <w:t>最低</w:t>
            </w:r>
            <w:r>
              <w:rPr>
                <w:rFonts w:ascii="Times New Roman" w:hAnsi="Times New Roman" w:eastAsia="宋体" w:cs="Times New Roman"/>
                <w:w w:val="104"/>
                <w:sz w:val="21"/>
                <w:lang w:val="en-US"/>
              </w:rPr>
              <w:t>价作为基准价，得相应的满分20分;</w:t>
            </w:r>
          </w:p>
          <w:p>
            <w:pPr>
              <w:pStyle w:val="12"/>
              <w:spacing w:line="269" w:lineRule="exact"/>
              <w:rPr>
                <w:rFonts w:ascii="Times New Roman" w:hAnsi="Times New Roman" w:eastAsia="宋体" w:cs="Times New Roman"/>
                <w:w w:val="104"/>
                <w:sz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w w:val="104"/>
                <w:sz w:val="21"/>
                <w:lang w:val="en-US"/>
              </w:rPr>
              <w:t>2.其他供应商的价格分统一按照下列公式计算：</w:t>
            </w:r>
          </w:p>
          <w:p>
            <w:pPr>
              <w:pStyle w:val="12"/>
              <w:spacing w:line="269" w:lineRule="exact"/>
              <w:rPr>
                <w:rFonts w:ascii="Times New Roman" w:hAnsi="Times New Roman" w:eastAsia="宋体" w:cs="Times New Roman"/>
                <w:w w:val="104"/>
                <w:sz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w w:val="104"/>
                <w:sz w:val="21"/>
                <w:lang w:val="en-US"/>
              </w:rPr>
              <w:t>报价得分=（基准价/投标报价)*20%*100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655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pStyle w:val="12"/>
              <w:spacing w:before="1"/>
              <w:ind w:left="13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w w:val="114"/>
                <w:sz w:val="21"/>
              </w:rPr>
              <w:t>2</w:t>
            </w:r>
          </w:p>
        </w:tc>
        <w:tc>
          <w:tcPr>
            <w:tcW w:w="1151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pStyle w:val="12"/>
              <w:spacing w:line="264" w:lineRule="exact"/>
              <w:ind w:left="92" w:right="78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技术部分</w:t>
            </w:r>
          </w:p>
          <w:p>
            <w:pPr>
              <w:pStyle w:val="12"/>
              <w:spacing w:line="264" w:lineRule="exact"/>
              <w:ind w:left="92" w:right="80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w w:val="104"/>
                <w:sz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w w:val="104"/>
                <w:sz w:val="21"/>
                <w:lang w:val="en-US"/>
              </w:rPr>
              <w:t>55</w:t>
            </w:r>
            <w:r>
              <w:rPr>
                <w:rFonts w:ascii="Times New Roman" w:hAnsi="Times New Roman" w:eastAsia="宋体" w:cs="Times New Roman"/>
                <w:w w:val="104"/>
                <w:sz w:val="21"/>
              </w:rPr>
              <w:t>%）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15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2"/>
              <w:spacing w:line="285" w:lineRule="exact"/>
              <w:ind w:left="205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团队</w:t>
            </w:r>
          </w:p>
          <w:p>
            <w:pPr>
              <w:pStyle w:val="12"/>
              <w:spacing w:line="263" w:lineRule="exact"/>
              <w:ind w:left="205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专业</w:t>
            </w:r>
          </w:p>
          <w:p>
            <w:pPr>
              <w:pStyle w:val="12"/>
              <w:spacing w:line="263" w:lineRule="exact"/>
              <w:ind w:left="205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配置</w:t>
            </w:r>
          </w:p>
        </w:tc>
        <w:tc>
          <w:tcPr>
            <w:tcW w:w="5066" w:type="dxa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2"/>
              <w:spacing w:line="269" w:lineRule="exact"/>
              <w:rPr>
                <w:rFonts w:hint="eastAsia" w:ascii="Times New Roman" w:hAnsi="Times New Roman" w:eastAsia="宋体" w:cs="Times New Roman"/>
                <w:sz w:val="21"/>
                <w:lang w:eastAsia="zh-CN"/>
              </w:rPr>
            </w:pPr>
            <w:r>
              <w:t>团队主要成员获得新闻专业相关的职称，具有初级职称2分，中级及以上职称3分，最高得</w:t>
            </w:r>
            <w:r>
              <w:rPr>
                <w:rFonts w:hint="eastAsia"/>
                <w:lang w:val="en-US" w:eastAsia="zh-CN"/>
              </w:rPr>
              <w:t>4</w:t>
            </w:r>
            <w:r>
              <w:t>分。说明：上述人员不重复计分，提供相关证明材料复印件。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</w:trPr>
        <w:tc>
          <w:tcPr>
            <w:tcW w:w="655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1151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2"/>
              <w:spacing w:before="1"/>
              <w:ind w:left="124" w:right="111"/>
              <w:jc w:val="center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115"/>
                <w:sz w:val="21"/>
                <w:lang w:val="en-US" w:eastAsia="zh-CN"/>
              </w:rPr>
              <w:t>40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pStyle w:val="12"/>
              <w:spacing w:line="296" w:lineRule="exact"/>
              <w:ind w:right="173" w:firstLine="315" w:firstLineChars="150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项目</w:t>
            </w:r>
          </w:p>
          <w:p>
            <w:pPr>
              <w:pStyle w:val="12"/>
              <w:spacing w:line="249" w:lineRule="exact"/>
              <w:ind w:left="185" w:right="173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服务</w:t>
            </w:r>
          </w:p>
          <w:p>
            <w:pPr>
              <w:pStyle w:val="12"/>
              <w:spacing w:line="318" w:lineRule="exact"/>
              <w:ind w:left="185" w:right="173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方案</w:t>
            </w:r>
          </w:p>
        </w:tc>
        <w:tc>
          <w:tcPr>
            <w:tcW w:w="5066" w:type="dxa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pStyle w:val="12"/>
              <w:spacing w:line="187" w:lineRule="auto"/>
              <w:ind w:right="216"/>
              <w:rPr>
                <w:rFonts w:ascii="Times New Roman" w:hAnsi="Times New Roman" w:eastAsia="宋体" w:cs="Times New Roman"/>
                <w:spacing w:val="-1"/>
                <w:sz w:val="21"/>
              </w:rPr>
            </w:pPr>
            <w:r>
              <w:rPr>
                <w:rFonts w:ascii="Times New Roman" w:hAnsi="Times New Roman" w:eastAsia="宋体" w:cs="Times New Roman"/>
                <w:spacing w:val="-1"/>
                <w:sz w:val="21"/>
              </w:rPr>
              <w:t>至少应包括：</w:t>
            </w:r>
            <w:r>
              <w:rPr>
                <w:rFonts w:hint="eastAsia" w:ascii="Times New Roman" w:hAnsi="Times New Roman" w:eastAsia="宋体" w:cs="Times New Roman"/>
                <w:spacing w:val="-1"/>
                <w:sz w:val="21"/>
              </w:rPr>
              <w:t>①项目实施</w:t>
            </w:r>
            <w:r>
              <w:rPr>
                <w:rFonts w:ascii="Times New Roman" w:hAnsi="Times New Roman" w:eastAsia="宋体" w:cs="Times New Roman"/>
                <w:spacing w:val="-1"/>
                <w:sz w:val="21"/>
              </w:rPr>
              <w:t>方案</w:t>
            </w:r>
            <w:r>
              <w:rPr>
                <w:rFonts w:hint="eastAsia" w:ascii="Times New Roman" w:hAnsi="Times New Roman" w:eastAsia="宋体" w:cs="Times New Roman"/>
                <w:spacing w:val="-1"/>
                <w:sz w:val="21"/>
              </w:rPr>
              <w:t>②服务保障</w:t>
            </w:r>
            <w:r>
              <w:rPr>
                <w:rFonts w:ascii="Times New Roman" w:hAnsi="Times New Roman" w:eastAsia="宋体" w:cs="Times New Roman"/>
                <w:spacing w:val="-1"/>
                <w:sz w:val="21"/>
              </w:rPr>
              <w:t>方案</w:t>
            </w:r>
            <w:r>
              <w:rPr>
                <w:rFonts w:hint="eastAsia" w:ascii="Times New Roman" w:hAnsi="Times New Roman" w:eastAsia="宋体" w:cs="Times New Roman"/>
                <w:spacing w:val="-1"/>
                <w:sz w:val="21"/>
              </w:rPr>
              <w:t>。</w:t>
            </w:r>
            <w:r>
              <w:rPr>
                <w:rFonts w:ascii="Times New Roman" w:hAnsi="Times New Roman" w:eastAsia="宋体" w:cs="Times New Roman"/>
                <w:spacing w:val="-1"/>
                <w:sz w:val="21"/>
              </w:rPr>
              <w:t>方案完整、科学、合理的得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lang w:val="en-US"/>
              </w:rPr>
              <w:t>3</w:t>
            </w:r>
            <w:r>
              <w:rPr>
                <w:rFonts w:hint="eastAsia" w:ascii="Times New Roman" w:hAnsi="Times New Roman" w:eastAsia="宋体" w:cs="Times New Roman"/>
                <w:spacing w:val="-1"/>
                <w:sz w:val="21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spacing w:val="-1"/>
                <w:sz w:val="21"/>
              </w:rPr>
              <w:t>分，每有一项不完整、不合理的扣</w:t>
            </w:r>
            <w:r>
              <w:rPr>
                <w:rFonts w:hint="eastAsia" w:ascii="Times New Roman" w:hAnsi="Times New Roman" w:eastAsia="宋体" w:cs="Times New Roman"/>
                <w:spacing w:val="-1"/>
                <w:sz w:val="21"/>
                <w:lang w:val="en-US"/>
              </w:rPr>
              <w:t>1</w:t>
            </w:r>
            <w:r>
              <w:rPr>
                <w:rFonts w:ascii="Times New Roman" w:hAnsi="Times New Roman" w:eastAsia="宋体" w:cs="Times New Roman"/>
                <w:spacing w:val="-1"/>
                <w:sz w:val="21"/>
              </w:rPr>
              <w:t>分，扣完为止。</w:t>
            </w:r>
          </w:p>
          <w:p>
            <w:pPr>
              <w:pStyle w:val="12"/>
              <w:spacing w:line="187" w:lineRule="auto"/>
              <w:ind w:right="216"/>
              <w:rPr>
                <w:rFonts w:ascii="Times New Roman" w:hAnsi="Times New Roman" w:eastAsia="宋体" w:cs="Times New Roman"/>
                <w:spacing w:val="-1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1"/>
                <w:lang w:val="zh-CN" w:eastAsia="zh-CN"/>
              </w:rPr>
              <w:t>供应商具备网上新闻发布资格</w:t>
            </w:r>
            <w:r>
              <w:rPr>
                <w:rFonts w:ascii="Times New Roman" w:hAnsi="Times New Roman" w:eastAsia="宋体" w:cs="Times New Roman"/>
                <w:spacing w:val="-1"/>
                <w:sz w:val="21"/>
              </w:rPr>
              <w:t>得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lang w:val="en-US"/>
              </w:rPr>
              <w:t>5</w:t>
            </w:r>
            <w:r>
              <w:rPr>
                <w:rFonts w:ascii="Times New Roman" w:hAnsi="Times New Roman" w:eastAsia="宋体" w:cs="Times New Roman"/>
                <w:spacing w:val="-1"/>
                <w:sz w:val="21"/>
              </w:rPr>
              <w:t>分</w:t>
            </w:r>
            <w:r>
              <w:rPr>
                <w:rFonts w:hint="eastAsia" w:ascii="Times New Roman" w:hAnsi="Times New Roman" w:eastAsia="宋体" w:cs="Times New Roman"/>
                <w:spacing w:val="-1"/>
                <w:sz w:val="21"/>
                <w:lang w:val="zh-CN" w:eastAsia="zh-CN"/>
              </w:rPr>
              <w:t>。</w:t>
            </w:r>
          </w:p>
          <w:p>
            <w:pPr>
              <w:pStyle w:val="5"/>
              <w:rPr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5"/>
              </w:rPr>
              <w:t>3</w:t>
            </w:r>
          </w:p>
        </w:tc>
        <w:tc>
          <w:tcPr>
            <w:tcW w:w="11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pStyle w:val="12"/>
              <w:spacing w:before="7"/>
              <w:jc w:val="center"/>
              <w:rPr>
                <w:rFonts w:ascii="Times New Roman" w:hAnsi="Times New Roman" w:eastAsia="宋体" w:cs="Times New Roman"/>
                <w:sz w:val="14"/>
              </w:rPr>
            </w:pPr>
          </w:p>
          <w:p>
            <w:pPr>
              <w:pStyle w:val="12"/>
              <w:spacing w:line="325" w:lineRule="exact"/>
              <w:ind w:left="135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业绩案例</w:t>
            </w:r>
          </w:p>
          <w:p>
            <w:pPr>
              <w:pStyle w:val="12"/>
              <w:spacing w:line="325" w:lineRule="exact"/>
              <w:ind w:left="110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w w:val="104"/>
                <w:sz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w w:val="104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w w:val="104"/>
                <w:sz w:val="21"/>
              </w:rPr>
              <w:t>0</w:t>
            </w:r>
            <w:r>
              <w:rPr>
                <w:rFonts w:ascii="Times New Roman" w:hAnsi="Times New Roman" w:eastAsia="宋体" w:cs="Times New Roman"/>
                <w:w w:val="104"/>
                <w:sz w:val="21"/>
              </w:rPr>
              <w:t>%）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pStyle w:val="12"/>
              <w:ind w:right="111"/>
              <w:jc w:val="center"/>
              <w:rPr>
                <w:rFonts w:hint="default" w:ascii="Times New Roman" w:hAnsi="Times New Roman" w:eastAsia="宋体" w:cs="Times New Roman"/>
                <w:sz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w w:val="115"/>
                <w:sz w:val="21"/>
                <w:lang w:val="en-US"/>
              </w:rPr>
              <w:t>20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pStyle w:val="12"/>
              <w:spacing w:line="254" w:lineRule="exact"/>
              <w:ind w:left="14"/>
              <w:jc w:val="center"/>
              <w:rPr>
                <w:rFonts w:ascii="Times New Roman" w:hAnsi="Times New Roman" w:eastAsia="宋体" w:cs="Times New Roman"/>
                <w:color w:val="000000"/>
                <w:sz w:val="21"/>
              </w:rPr>
            </w:pPr>
          </w:p>
          <w:p>
            <w:pPr>
              <w:pStyle w:val="12"/>
              <w:spacing w:line="254" w:lineRule="exact"/>
              <w:ind w:left="14"/>
              <w:jc w:val="center"/>
              <w:rPr>
                <w:rFonts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</w:rPr>
              <w:t>业绩案例</w:t>
            </w:r>
          </w:p>
        </w:tc>
        <w:tc>
          <w:tcPr>
            <w:tcW w:w="50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pStyle w:val="12"/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</w:rPr>
              <w:t>供应商提供2020年以来类似于本项目，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</w:rPr>
              <w:t>同一个单位合同累计金额：</w:t>
            </w:r>
          </w:p>
          <w:p>
            <w:pPr>
              <w:pStyle w:val="12"/>
              <w:rPr>
                <w:rFonts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</w:rPr>
              <w:t>①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</w:rPr>
              <w:t>万元以上（含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</w:rPr>
              <w:t>万元）得10分；</w:t>
            </w:r>
          </w:p>
          <w:p>
            <w:pPr>
              <w:pStyle w:val="12"/>
              <w:rPr>
                <w:rFonts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</w:rPr>
              <w:t>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</w:rPr>
              <w:t>10万元以上（含10万元），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</w:rPr>
              <w:t>万元以内得8分；</w:t>
            </w:r>
          </w:p>
          <w:p>
            <w:pPr>
              <w:pStyle w:val="12"/>
              <w:rPr>
                <w:rFonts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</w:rPr>
              <w:t>③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</w:rPr>
              <w:t>5万元以上（含5万元），10万元以内得6分；</w:t>
            </w:r>
          </w:p>
          <w:p>
            <w:pPr>
              <w:pStyle w:val="5"/>
              <w:ind w:left="0" w:leftChars="0"/>
              <w:rPr>
                <w:color w:val="000000"/>
                <w:lang w:val="zh-CN" w:bidi="zh-CN"/>
              </w:rPr>
            </w:pPr>
            <w:r>
              <w:rPr>
                <w:rFonts w:hint="eastAsia" w:ascii="宋体"/>
                <w:color w:val="000000"/>
                <w:lang w:val="zh-CN" w:bidi="zh-CN"/>
              </w:rPr>
              <w:t>④5万元以下得4分。</w:t>
            </w:r>
          </w:p>
          <w:p>
            <w:pPr>
              <w:pStyle w:val="5"/>
              <w:ind w:left="0" w:leftChars="0"/>
              <w:rPr>
                <w:color w:val="000000"/>
                <w:lang w:bidi="zh-CN"/>
              </w:rPr>
            </w:pPr>
            <w:r>
              <w:rPr>
                <w:rFonts w:hint="eastAsia"/>
                <w:color w:val="000000"/>
                <w:lang w:bidi="zh-CN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>类似于本项目</w:t>
            </w:r>
            <w:r>
              <w:rPr>
                <w:rFonts w:hint="eastAsia"/>
                <w:color w:val="000000"/>
                <w:lang w:bidi="zh-CN"/>
              </w:rPr>
              <w:t>与党政机关、行政事业单位开展合作</w:t>
            </w:r>
            <w:r>
              <w:rPr>
                <w:rFonts w:ascii="Times New Roman" w:hAnsi="Times New Roman" w:cs="Times New Roman"/>
                <w:color w:val="000000"/>
              </w:rPr>
              <w:t>，签订一个</w:t>
            </w:r>
            <w:r>
              <w:rPr>
                <w:rFonts w:hint="eastAsia" w:ascii="Times New Roman" w:hAnsi="Times New Roman" w:cs="Times New Roman"/>
                <w:color w:val="000000"/>
              </w:rPr>
              <w:t>合同，每一个得5分，</w:t>
            </w:r>
            <w:r>
              <w:rPr>
                <w:rFonts w:ascii="Times New Roman" w:hAnsi="Times New Roman" w:cs="Times New Roman"/>
                <w:color w:val="000000"/>
              </w:rPr>
              <w:t>此项满分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分</w:t>
            </w:r>
            <w:r>
              <w:rPr>
                <w:rFonts w:hint="eastAsia" w:ascii="Times New Roman" w:hAnsi="Times New Roman" w:cs="Times New Roman"/>
                <w:color w:val="000000"/>
              </w:rPr>
              <w:t>。</w:t>
            </w:r>
          </w:p>
          <w:p>
            <w:pPr>
              <w:pStyle w:val="12"/>
              <w:rPr>
                <w:rFonts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</w:rPr>
              <w:t>注：提供合同复印件加盖供应商鲜章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pStyle w:val="12"/>
              <w:spacing w:before="4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5"/>
              </w:rPr>
              <w:t>5</w:t>
            </w:r>
          </w:p>
        </w:tc>
        <w:tc>
          <w:tcPr>
            <w:tcW w:w="11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pStyle w:val="12"/>
              <w:spacing w:before="177" w:line="192" w:lineRule="auto"/>
              <w:ind w:left="135" w:right="120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投标文件规范性(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sz w:val="21"/>
              </w:rPr>
              <w:t>%)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pStyle w:val="12"/>
              <w:ind w:left="11"/>
              <w:jc w:val="center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5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pStyle w:val="12"/>
              <w:spacing w:line="254" w:lineRule="exact"/>
              <w:ind w:left="14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投标文件规范性</w:t>
            </w:r>
          </w:p>
        </w:tc>
        <w:tc>
          <w:tcPr>
            <w:tcW w:w="50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pStyle w:val="12"/>
              <w:spacing w:line="187" w:lineRule="auto"/>
              <w:ind w:left="109" w:right="166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投标文件制作规范，没有细微偏差情形的得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sz w:val="21"/>
              </w:rPr>
              <w:t>分；有一项细微偏差扣</w:t>
            </w:r>
            <w:r>
              <w:rPr>
                <w:rFonts w:hint="eastAsia" w:ascii="Times New Roman" w:hAnsi="Times New Roman" w:eastAsia="宋体" w:cs="Times New Roman"/>
                <w:sz w:val="21"/>
              </w:rPr>
              <w:t>1</w:t>
            </w:r>
            <w:r>
              <w:rPr>
                <w:rFonts w:ascii="Times New Roman" w:hAnsi="Times New Roman" w:eastAsia="宋体" w:cs="Times New Roman"/>
                <w:sz w:val="21"/>
              </w:rPr>
              <w:t xml:space="preserve"> 分，直至该项分值扣完为止。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pStyle w:val="12"/>
              <w:spacing w:before="1"/>
              <w:ind w:left="13"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11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pStyle w:val="12"/>
              <w:spacing w:before="208"/>
              <w:ind w:left="92" w:right="78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合计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pStyle w:val="12"/>
              <w:spacing w:before="3"/>
              <w:ind w:left="11"/>
              <w:jc w:val="center"/>
              <w:rPr>
                <w:rFonts w:ascii="Times New Roman" w:hAnsi="Times New Roman" w:eastAsia="宋体" w:cs="Times New Roman"/>
                <w:sz w:val="21"/>
                <w:lang w:val="en-US"/>
              </w:rPr>
            </w:pPr>
            <w:r>
              <w:rPr>
                <w:rFonts w:ascii="Times New Roman" w:hAnsi="Times New Roman" w:eastAsia="宋体" w:cs="Times New Roman"/>
                <w:w w:val="115"/>
                <w:sz w:val="21"/>
                <w:lang w:val="en-US"/>
              </w:rPr>
              <w:t>100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pStyle w:val="12"/>
              <w:spacing w:before="1"/>
              <w:ind w:left="14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w w:val="121"/>
                <w:sz w:val="21"/>
              </w:rPr>
              <w:t>/</w:t>
            </w:r>
          </w:p>
        </w:tc>
        <w:tc>
          <w:tcPr>
            <w:tcW w:w="50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pStyle w:val="12"/>
              <w:spacing w:before="1"/>
              <w:ind w:left="14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w w:val="121"/>
                <w:sz w:val="21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w w:val="121"/>
                <w:sz w:val="21"/>
              </w:rPr>
              <w:t>/</w:t>
            </w:r>
          </w:p>
        </w:tc>
      </w:tr>
    </w:tbl>
    <w:p>
      <w:pPr>
        <w:spacing w:line="400" w:lineRule="exact"/>
        <w:ind w:firstLine="640" w:firstLineChars="200"/>
        <w:jc w:val="left"/>
        <w:rPr>
          <w:rFonts w:ascii="仿宋" w:hAnsi="仿宋" w:eastAsia="仿宋"/>
          <w:bCs/>
          <w:color w:val="000000"/>
          <w:sz w:val="32"/>
          <w:szCs w:val="32"/>
        </w:rPr>
      </w:pPr>
    </w:p>
    <w:p>
      <w:pPr>
        <w:spacing w:line="400" w:lineRule="exact"/>
        <w:ind w:firstLine="640" w:firstLineChars="200"/>
        <w:jc w:val="left"/>
        <w:rPr>
          <w:rFonts w:ascii="楷体" w:hAnsi="楷体" w:eastAsia="楷体"/>
          <w:bCs/>
          <w:color w:val="000000"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ucida Sans">
    <w:altName w:val="Noto Naskh Arabic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9203063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B5770"/>
    <w:multiLevelType w:val="multilevel"/>
    <w:tmpl w:val="08EB5770"/>
    <w:lvl w:ilvl="0" w:tentative="0">
      <w:start w:val="1"/>
      <w:numFmt w:val="decimal"/>
      <w:lvlText w:val="%1."/>
      <w:lvlJc w:val="left"/>
      <w:pPr>
        <w:ind w:left="165" w:hanging="16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526F06"/>
    <w:rsid w:val="00076D82"/>
    <w:rsid w:val="000A1EB5"/>
    <w:rsid w:val="00131EEB"/>
    <w:rsid w:val="001615EE"/>
    <w:rsid w:val="002E386D"/>
    <w:rsid w:val="003158EF"/>
    <w:rsid w:val="00364463"/>
    <w:rsid w:val="003F553D"/>
    <w:rsid w:val="005078DB"/>
    <w:rsid w:val="00526F06"/>
    <w:rsid w:val="00AF1A40"/>
    <w:rsid w:val="00C018B5"/>
    <w:rsid w:val="00C1553C"/>
    <w:rsid w:val="34C74165"/>
    <w:rsid w:val="38E26DA6"/>
    <w:rsid w:val="51FC7A11"/>
    <w:rsid w:val="634C3904"/>
    <w:rsid w:val="63DF1F6B"/>
    <w:rsid w:val="6C975BF0"/>
    <w:rsid w:val="70CC05D3"/>
    <w:rsid w:val="777B105B"/>
    <w:rsid w:val="77DFA030"/>
    <w:rsid w:val="7A77960E"/>
    <w:rsid w:val="7DF54285"/>
    <w:rsid w:val="7FDB3D4E"/>
    <w:rsid w:val="8AED93FA"/>
    <w:rsid w:val="A7BCFABD"/>
    <w:rsid w:val="C15EAA76"/>
    <w:rsid w:val="EFEF39B7"/>
    <w:rsid w:val="FFDE75B7"/>
    <w:rsid w:val="FFE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1"/>
    <w:next w:val="1"/>
    <w:qFormat/>
    <w:uiPriority w:val="0"/>
    <w:pPr>
      <w:ind w:left="800" w:leftChars="800"/>
    </w:pPr>
  </w:style>
  <w:style w:type="paragraph" w:styleId="6">
    <w:name w:val="Body Text Indent 2"/>
    <w:basedOn w:val="1"/>
    <w:qFormat/>
    <w:uiPriority w:val="0"/>
    <w:pPr>
      <w:spacing w:after="120" w:line="480" w:lineRule="auto"/>
      <w:ind w:left="200" w:leftChars="200"/>
    </w:pPr>
    <w:rPr>
      <w:rFonts w:ascii="Times New Roman" w:hAnsi="Times New Roman" w:cs="Times New Roman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List Paragraph"/>
    <w:basedOn w:val="1"/>
    <w:qFormat/>
    <w:uiPriority w:val="0"/>
    <w:pPr>
      <w:ind w:firstLine="200" w:firstLineChars="200"/>
    </w:pPr>
  </w:style>
  <w:style w:type="paragraph" w:customStyle="1" w:styleId="12">
    <w:name w:val="Table Paragraph"/>
    <w:next w:val="5"/>
    <w:qFormat/>
    <w:uiPriority w:val="0"/>
    <w:pPr>
      <w:widowControl w:val="0"/>
      <w:autoSpaceDE w:val="0"/>
      <w:autoSpaceDN w:val="0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480</Words>
  <Characters>522</Characters>
  <Lines>4</Lines>
  <Paragraphs>1</Paragraphs>
  <TotalTime>3</TotalTime>
  <ScaleCrop>false</ScaleCrop>
  <LinksUpToDate>false</LinksUpToDate>
  <CharactersWithSpaces>523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2021-08-17T18:56:00Z</dcterms:created>
  <dc:creator>兰发莲</dc:creator>
  <cp:lastModifiedBy>user</cp:lastModifiedBy>
  <dcterms:modified xsi:type="dcterms:W3CDTF">2024-12-12T11:14:32Z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968DFF6FEFEC4C69B16BC81A27B7E68D_13</vt:lpwstr>
  </property>
</Properties>
</file>