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ascii="Times New Roman" w:hAnsi="Times New Roman" w:cs="Times New Roman"/>
        </w:rPr>
      </w:pPr>
      <w:bookmarkStart w:id="0" w:name="_Toc15396597"/>
      <w:bookmarkStart w:id="1" w:name="_Toc15306267"/>
      <w:bookmarkStart w:id="2" w:name="_Toc15377425"/>
      <w:bookmarkStart w:id="3" w:name="_Toc15378441"/>
      <w:bookmarkStart w:id="4" w:name="_Toc15377193"/>
      <w:bookmarkStart w:id="5" w:name="_Toc15396475"/>
    </w:p>
    <w:p>
      <w:pPr>
        <w:pStyle w:val="7"/>
        <w:spacing w:before="93"/>
        <w:rPr>
          <w:rFonts w:ascii="Times New Roman" w:eastAsia="方正小标宋简体"/>
          <w:kern w:val="2"/>
          <w:sz w:val="72"/>
          <w:szCs w:val="72"/>
        </w:rPr>
      </w:pPr>
    </w:p>
    <w:p>
      <w:pPr>
        <w:pStyle w:val="7"/>
        <w:spacing w:before="93"/>
        <w:rPr>
          <w:rFonts w:ascii="Times New Roman" w:eastAsia="方正小标宋简体"/>
          <w:kern w:val="2"/>
          <w:sz w:val="72"/>
          <w:szCs w:val="72"/>
        </w:rPr>
      </w:pPr>
    </w:p>
    <w:p>
      <w:pPr>
        <w:pStyle w:val="7"/>
        <w:spacing w:before="93"/>
        <w:jc w:val="center"/>
        <w:rPr>
          <w:rFonts w:ascii="Times New Roman" w:eastAsia="方正小标宋简体"/>
          <w:kern w:val="2"/>
          <w:sz w:val="44"/>
          <w:szCs w:val="44"/>
        </w:rPr>
      </w:pPr>
      <w:r>
        <w:rPr>
          <w:rFonts w:ascii="Times New Roman" w:eastAsia="方正小标宋简体"/>
          <w:kern w:val="2"/>
          <w:sz w:val="44"/>
          <w:szCs w:val="44"/>
        </w:rPr>
        <w:t>202</w:t>
      </w:r>
      <w:r>
        <w:rPr>
          <w:rFonts w:ascii="Times New Roman" w:eastAsia="方正小标宋简体"/>
          <w:kern w:val="2"/>
          <w:sz w:val="44"/>
          <w:szCs w:val="44"/>
          <w:lang w:val="en"/>
        </w:rPr>
        <w:t>5</w:t>
      </w:r>
      <w:r>
        <w:rPr>
          <w:rFonts w:ascii="Times New Roman" w:eastAsia="方正小标宋简体"/>
          <w:kern w:val="2"/>
          <w:sz w:val="44"/>
          <w:szCs w:val="44"/>
        </w:rPr>
        <w:t>年度攀枝花市统计局部门决算</w:t>
      </w:r>
    </w:p>
    <w:p>
      <w:pPr>
        <w:spacing w:line="600" w:lineRule="exact"/>
        <w:jc w:val="center"/>
        <w:outlineLvl w:val="0"/>
        <w:rPr>
          <w:rFonts w:eastAsia="方正小标宋简体"/>
          <w:sz w:val="72"/>
          <w:szCs w:val="72"/>
        </w:rPr>
      </w:pPr>
    </w:p>
    <w:p>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bookmarkEnd w:id="0"/>
    <w:bookmarkEnd w:id="1"/>
    <w:bookmarkEnd w:id="2"/>
    <w:bookmarkEnd w:id="3"/>
    <w:bookmarkEnd w:id="4"/>
    <w:bookmarkEnd w:id="5"/>
    <w:p>
      <w:pPr>
        <w:widowControl/>
        <w:jc w:val="center"/>
        <w:rPr>
          <w:rFonts w:eastAsia="方正黑体_GBK"/>
          <w:sz w:val="48"/>
          <w:szCs w:val="48"/>
        </w:rPr>
      </w:pPr>
      <w:r>
        <w:rPr>
          <w:rFonts w:eastAsia="方正黑体_GBK"/>
          <w:sz w:val="48"/>
          <w:szCs w:val="48"/>
        </w:rPr>
        <w:t>目录</w:t>
      </w:r>
    </w:p>
    <w:p>
      <w:pPr>
        <w:pStyle w:val="14"/>
        <w:rPr>
          <w:rFonts w:ascii="Times New Roman" w:hAnsi="Times New Roman" w:eastAsia="方正仿宋_GBK"/>
          <w:sz w:val="32"/>
          <w:szCs w:val="32"/>
        </w:rPr>
      </w:pPr>
      <w:r>
        <w:rPr>
          <w:rFonts w:ascii="Times New Roman" w:hAnsi="Times New Roman" w:eastAsia="方正仿宋_GBK"/>
          <w:sz w:val="32"/>
          <w:szCs w:val="32"/>
        </w:rPr>
        <w:t>公开时间：202</w:t>
      </w:r>
      <w:r>
        <w:rPr>
          <w:rFonts w:ascii="Times New Roman" w:hAnsi="Times New Roman" w:eastAsia="方正仿宋_GBK"/>
          <w:sz w:val="32"/>
          <w:szCs w:val="32"/>
          <w:lang w:val="en"/>
        </w:rPr>
        <w:t>6</w:t>
      </w:r>
      <w:r>
        <w:rPr>
          <w:rFonts w:ascii="Times New Roman" w:hAnsi="Times New Roman" w:eastAsia="方正仿宋_GBK"/>
          <w:sz w:val="32"/>
          <w:szCs w:val="32"/>
        </w:rPr>
        <w:t>年9月</w:t>
      </w:r>
      <w:r>
        <w:rPr>
          <w:rFonts w:hint="eastAsia" w:ascii="Times New Roman" w:hAnsi="Times New Roman" w:eastAsia="方正仿宋_GBK"/>
          <w:sz w:val="32"/>
          <w:szCs w:val="32"/>
          <w:lang w:val="en-US" w:eastAsia="zh-CN"/>
        </w:rPr>
        <w:t>9</w:t>
      </w:r>
      <w:r>
        <w:rPr>
          <w:rFonts w:ascii="Times New Roman" w:hAnsi="Times New Roman" w:eastAsia="方正仿宋_GBK"/>
          <w:sz w:val="32"/>
          <w:szCs w:val="32"/>
        </w:rPr>
        <w:t>日</w:t>
      </w:r>
    </w:p>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第一部分 部门概况</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w:t>
      </w:r>
      <w:r>
        <w:rPr>
          <w:rFonts w:hint="eastAsia" w:ascii="Times New Roman" w:hAnsi="Times New Roman" w:eastAsia="方正仿宋_GBK"/>
          <w:sz w:val="32"/>
          <w:szCs w:val="32"/>
          <w:lang w:eastAsia="zh-CN"/>
        </w:rPr>
        <w:t>部门</w:t>
      </w:r>
      <w:r>
        <w:rPr>
          <w:rFonts w:ascii="Times New Roman" w:hAnsi="Times New Roman" w:eastAsia="方正仿宋_GBK"/>
          <w:sz w:val="32"/>
          <w:szCs w:val="32"/>
        </w:rPr>
        <w:t>职责</w:t>
      </w:r>
      <w:r>
        <w:rPr>
          <w:rFonts w:ascii="Times New Roman" w:hAnsi="Times New Roman" w:eastAsia="方正仿宋_GBK"/>
          <w:sz w:val="32"/>
          <w:szCs w:val="32"/>
        </w:rPr>
        <w:tab/>
      </w:r>
      <w:r>
        <w:rPr>
          <w:rFonts w:ascii="Times New Roman" w:hAnsi="Times New Roman" w:eastAsia="方正仿宋_GBK"/>
          <w:sz w:val="32"/>
          <w:szCs w:val="32"/>
        </w:rPr>
        <w:t>1</w:t>
      </w:r>
    </w:p>
    <w:p>
      <w:pPr>
        <w:pStyle w:val="14"/>
        <w:adjustRightInd w:val="0"/>
        <w:snapToGrid w:val="0"/>
        <w:spacing w:before="0"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二、机构设置</w:t>
      </w:r>
      <w:r>
        <w:rPr>
          <w:rFonts w:ascii="Times New Roman" w:hAnsi="Times New Roman" w:eastAsia="方正仿宋_GBK"/>
          <w:sz w:val="32"/>
          <w:szCs w:val="32"/>
        </w:rPr>
        <w:tab/>
      </w:r>
      <w:bookmarkStart w:id="68" w:name="_GoBack"/>
      <w:bookmarkEnd w:id="68"/>
      <w:r>
        <w:rPr>
          <w:rFonts w:ascii="Times New Roman" w:hAnsi="Times New Roman" w:eastAsia="方正仿宋_GBK"/>
          <w:sz w:val="32"/>
          <w:szCs w:val="32"/>
        </w:rPr>
        <w:t>2</w:t>
      </w:r>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第二部分 202</w:t>
      </w:r>
      <w:r>
        <w:rPr>
          <w:rFonts w:ascii="Times New Roman" w:hAnsi="Times New Roman" w:eastAsia="方正黑体_GBK"/>
          <w:sz w:val="32"/>
          <w:szCs w:val="32"/>
          <w:lang w:val="en"/>
        </w:rPr>
        <w:t>5</w:t>
      </w:r>
      <w:r>
        <w:rPr>
          <w:rFonts w:ascii="Times New Roman" w:hAnsi="Times New Roman" w:eastAsia="方正黑体_GBK"/>
          <w:sz w:val="32"/>
          <w:szCs w:val="32"/>
        </w:rPr>
        <w:t>年度部门决算情况说明</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一、收入支出决算总体情况说明</w:t>
      </w:r>
      <w:r>
        <w:rPr>
          <w:rFonts w:ascii="Times New Roman" w:hAnsi="Times New Roman" w:eastAsia="方正仿宋_GBK"/>
          <w:sz w:val="32"/>
          <w:szCs w:val="32"/>
        </w:rPr>
        <w:tab/>
      </w:r>
      <w:r>
        <w:rPr>
          <w:rFonts w:ascii="Times New Roman" w:hAnsi="Times New Roman" w:eastAsia="方正仿宋_GBK"/>
          <w:sz w:val="32"/>
          <w:szCs w:val="32"/>
        </w:rPr>
        <w:t>3</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二、收入决算情况说明</w:t>
      </w:r>
      <w:r>
        <w:rPr>
          <w:rFonts w:ascii="Times New Roman" w:hAnsi="Times New Roman" w:eastAsia="方正仿宋_GBK"/>
          <w:sz w:val="32"/>
          <w:szCs w:val="32"/>
        </w:rPr>
        <w:tab/>
      </w:r>
      <w:r>
        <w:rPr>
          <w:rFonts w:ascii="Times New Roman" w:hAnsi="Times New Roman" w:eastAsia="方正仿宋_GBK"/>
          <w:sz w:val="32"/>
          <w:szCs w:val="32"/>
        </w:rPr>
        <w:t>4</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三、支出决算情况说明</w:t>
      </w:r>
      <w:r>
        <w:rPr>
          <w:rFonts w:ascii="Times New Roman" w:hAnsi="Times New Roman" w:eastAsia="方正仿宋_GBK"/>
          <w:sz w:val="32"/>
          <w:szCs w:val="32"/>
        </w:rPr>
        <w:tab/>
      </w:r>
      <w:r>
        <w:rPr>
          <w:rFonts w:ascii="Times New Roman" w:hAnsi="Times New Roman" w:eastAsia="方正仿宋_GBK"/>
          <w:sz w:val="32"/>
          <w:szCs w:val="32"/>
          <w:lang w:val="en"/>
        </w:rPr>
        <w:t>5</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四、财政拨款收入支出决算总体情况说明</w:t>
      </w:r>
      <w:r>
        <w:rPr>
          <w:rFonts w:ascii="Times New Roman" w:hAnsi="Times New Roman" w:eastAsia="方正仿宋_GBK"/>
          <w:sz w:val="32"/>
          <w:szCs w:val="32"/>
        </w:rPr>
        <w:tab/>
      </w:r>
      <w:r>
        <w:rPr>
          <w:rFonts w:ascii="Times New Roman" w:hAnsi="Times New Roman" w:eastAsia="方正仿宋_GBK"/>
          <w:sz w:val="32"/>
          <w:szCs w:val="32"/>
        </w:rPr>
        <w:t>5</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五、一般公共预算财政拨款支出决算情况说明</w:t>
      </w:r>
      <w:r>
        <w:rPr>
          <w:rFonts w:ascii="Times New Roman" w:hAnsi="Times New Roman" w:eastAsia="方正仿宋_GBK"/>
          <w:sz w:val="32"/>
          <w:szCs w:val="32"/>
        </w:rPr>
        <w:tab/>
      </w:r>
      <w:r>
        <w:rPr>
          <w:rFonts w:ascii="Times New Roman" w:hAnsi="Times New Roman" w:eastAsia="方正仿宋_GBK"/>
          <w:sz w:val="32"/>
          <w:szCs w:val="32"/>
        </w:rPr>
        <w:t>6</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（一）一般公共预算财政拨款支出决算总体情况</w:t>
      </w:r>
      <w:r>
        <w:rPr>
          <w:rFonts w:ascii="Times New Roman" w:hAnsi="Times New Roman" w:eastAsia="方正仿宋_GBK"/>
          <w:sz w:val="32"/>
          <w:szCs w:val="32"/>
        </w:rPr>
        <w:tab/>
      </w:r>
      <w:r>
        <w:rPr>
          <w:rFonts w:ascii="Times New Roman" w:hAnsi="Times New Roman" w:eastAsia="方正仿宋_GBK"/>
          <w:sz w:val="32"/>
          <w:szCs w:val="32"/>
        </w:rPr>
        <w:t>6</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（二）一般公共预算财政拨款支出决算结构情况</w:t>
      </w:r>
      <w:r>
        <w:rPr>
          <w:rFonts w:ascii="Times New Roman" w:hAnsi="Times New Roman" w:eastAsia="方正仿宋_GBK"/>
          <w:sz w:val="32"/>
          <w:szCs w:val="32"/>
        </w:rPr>
        <w:tab/>
      </w:r>
      <w:r>
        <w:rPr>
          <w:rFonts w:ascii="Times New Roman" w:hAnsi="Times New Roman" w:eastAsia="方正仿宋_GBK"/>
          <w:sz w:val="32"/>
          <w:szCs w:val="32"/>
          <w:lang w:val="en"/>
        </w:rPr>
        <w:t>7</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（三）一般公共预算财政拨款支出决算具体情况</w:t>
      </w:r>
      <w:r>
        <w:rPr>
          <w:rFonts w:ascii="Times New Roman" w:hAnsi="Times New Roman" w:eastAsia="方正仿宋_GBK"/>
          <w:sz w:val="32"/>
          <w:szCs w:val="32"/>
        </w:rPr>
        <w:tab/>
      </w:r>
      <w:r>
        <w:rPr>
          <w:rFonts w:ascii="Times New Roman" w:hAnsi="Times New Roman" w:eastAsia="方正仿宋_GBK"/>
          <w:sz w:val="32"/>
          <w:szCs w:val="32"/>
        </w:rPr>
        <w:t>7</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六、一般公共预算财政拨款基本支出决算情况说明</w:t>
      </w:r>
      <w:r>
        <w:rPr>
          <w:rFonts w:ascii="Times New Roman" w:hAnsi="Times New Roman" w:eastAsia="方正仿宋_GBK"/>
          <w:sz w:val="32"/>
          <w:szCs w:val="32"/>
        </w:rPr>
        <w:tab/>
      </w:r>
      <w:r>
        <w:rPr>
          <w:rFonts w:ascii="Times New Roman" w:hAnsi="Times New Roman" w:eastAsia="方正仿宋_GBK"/>
          <w:sz w:val="32"/>
          <w:szCs w:val="32"/>
        </w:rPr>
        <w:t>9</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七、财政拨款“三公”经费支出决算情况说明</w:t>
      </w:r>
      <w:r>
        <w:rPr>
          <w:rFonts w:ascii="Times New Roman" w:hAnsi="Times New Roman" w:eastAsia="方正仿宋_GBK"/>
          <w:sz w:val="32"/>
          <w:szCs w:val="32"/>
        </w:rPr>
        <w:tab/>
      </w:r>
      <w:r>
        <w:rPr>
          <w:rFonts w:ascii="Times New Roman" w:hAnsi="Times New Roman" w:eastAsia="方正仿宋_GBK"/>
          <w:sz w:val="32"/>
          <w:szCs w:val="32"/>
          <w:lang w:val="en"/>
        </w:rPr>
        <w:t>10</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（一）“三公”经费财政拨款支出决算总体情况说明</w:t>
      </w:r>
      <w:r>
        <w:rPr>
          <w:rFonts w:ascii="Times New Roman" w:hAnsi="Times New Roman" w:eastAsia="方正仿宋_GBK"/>
          <w:sz w:val="32"/>
          <w:szCs w:val="32"/>
        </w:rPr>
        <w:tab/>
      </w:r>
      <w:r>
        <w:rPr>
          <w:rFonts w:ascii="Times New Roman" w:hAnsi="Times New Roman" w:eastAsia="方正仿宋_GBK"/>
          <w:sz w:val="32"/>
          <w:szCs w:val="32"/>
          <w:lang w:val="en"/>
        </w:rPr>
        <w:t>10</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（二）“三公”经费财政拨款支出决算具体情况说明</w:t>
      </w:r>
      <w:r>
        <w:rPr>
          <w:rFonts w:ascii="Times New Roman" w:hAnsi="Times New Roman" w:eastAsia="方正仿宋_GBK"/>
          <w:sz w:val="32"/>
          <w:szCs w:val="32"/>
        </w:rPr>
        <w:tab/>
      </w:r>
      <w:r>
        <w:rPr>
          <w:rFonts w:ascii="Times New Roman" w:hAnsi="Times New Roman" w:eastAsia="方正仿宋_GBK"/>
          <w:sz w:val="32"/>
          <w:szCs w:val="32"/>
        </w:rPr>
        <w:t>10</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八、政府性基金预算支出决算情况说明</w:t>
      </w:r>
      <w:r>
        <w:rPr>
          <w:rFonts w:ascii="Times New Roman" w:hAnsi="Times New Roman" w:eastAsia="方正仿宋_GBK"/>
          <w:sz w:val="32"/>
          <w:szCs w:val="32"/>
        </w:rPr>
        <w:tab/>
      </w:r>
      <w:r>
        <w:rPr>
          <w:rFonts w:ascii="Times New Roman" w:hAnsi="Times New Roman" w:eastAsia="方正仿宋_GBK"/>
          <w:sz w:val="32"/>
          <w:szCs w:val="32"/>
        </w:rPr>
        <w:t>1</w:t>
      </w:r>
      <w:r>
        <w:rPr>
          <w:rFonts w:ascii="Times New Roman" w:hAnsi="Times New Roman" w:eastAsia="方正仿宋_GBK"/>
          <w:sz w:val="32"/>
          <w:szCs w:val="32"/>
          <w:lang w:val="en"/>
        </w:rPr>
        <w:t>2</w:t>
      </w:r>
    </w:p>
    <w:p>
      <w:pPr>
        <w:pStyle w:val="14"/>
        <w:adjustRightInd w:val="0"/>
        <w:snapToGrid w:val="0"/>
        <w:spacing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九、国有资本经营预算支出决算情况说明</w:t>
      </w:r>
      <w:r>
        <w:rPr>
          <w:rFonts w:ascii="Times New Roman" w:hAnsi="Times New Roman" w:eastAsia="方正仿宋_GBK"/>
          <w:sz w:val="32"/>
          <w:szCs w:val="32"/>
        </w:rPr>
        <w:tab/>
      </w:r>
      <w:r>
        <w:rPr>
          <w:rFonts w:ascii="Times New Roman" w:hAnsi="Times New Roman" w:eastAsia="方正仿宋_GBK"/>
          <w:sz w:val="32"/>
          <w:szCs w:val="32"/>
        </w:rPr>
        <w:t>1</w:t>
      </w:r>
      <w:r>
        <w:rPr>
          <w:rFonts w:ascii="Times New Roman" w:hAnsi="Times New Roman" w:eastAsia="方正仿宋_GBK"/>
          <w:sz w:val="32"/>
          <w:szCs w:val="32"/>
          <w:lang w:val="en"/>
        </w:rPr>
        <w:t>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十、其他重要事项的情况说明</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（一）机关运行经费支出情况</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（二）政府采购支出情况</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（三）国有资产占有使用情况</w:t>
      </w:r>
      <w:r>
        <w:rPr>
          <w:rFonts w:ascii="Times New Roman" w:hAnsi="Times New Roman" w:eastAsia="方正仿宋_GBK"/>
          <w:sz w:val="32"/>
          <w:szCs w:val="32"/>
        </w:rPr>
        <w:tab/>
      </w:r>
      <w:r>
        <w:rPr>
          <w:rFonts w:ascii="Times New Roman" w:hAnsi="Times New Roman" w:eastAsia="方正仿宋_GBK"/>
          <w:sz w:val="32"/>
          <w:szCs w:val="32"/>
        </w:rPr>
        <w:t>12</w:t>
      </w:r>
    </w:p>
    <w:p>
      <w:pPr>
        <w:pStyle w:val="14"/>
        <w:adjustRightInd w:val="0"/>
        <w:snapToGrid w:val="0"/>
        <w:spacing w:before="0" w:line="560" w:lineRule="exact"/>
        <w:ind w:firstLine="640" w:firstLineChars="200"/>
        <w:jc w:val="left"/>
        <w:rPr>
          <w:rFonts w:ascii="Times New Roman" w:hAnsi="Times New Roman" w:eastAsia="方正仿宋_GBK"/>
          <w:sz w:val="32"/>
          <w:szCs w:val="32"/>
          <w:lang w:val="en"/>
        </w:rPr>
      </w:pPr>
      <w:r>
        <w:rPr>
          <w:rFonts w:ascii="Times New Roman" w:hAnsi="Times New Roman" w:eastAsia="方正仿宋_GBK"/>
          <w:sz w:val="32"/>
          <w:szCs w:val="32"/>
        </w:rPr>
        <w:t>（四）预算绩效管理情况</w:t>
      </w:r>
      <w:r>
        <w:rPr>
          <w:rFonts w:ascii="Times New Roman" w:hAnsi="Times New Roman" w:eastAsia="方正仿宋_GBK"/>
          <w:sz w:val="32"/>
          <w:szCs w:val="32"/>
        </w:rPr>
        <w:tab/>
      </w:r>
      <w:r>
        <w:rPr>
          <w:rFonts w:ascii="Times New Roman" w:hAnsi="Times New Roman" w:eastAsia="方正仿宋_GBK"/>
          <w:sz w:val="32"/>
          <w:szCs w:val="32"/>
        </w:rPr>
        <w:t>1</w:t>
      </w:r>
      <w:r>
        <w:rPr>
          <w:rFonts w:ascii="Times New Roman" w:hAnsi="Times New Roman" w:eastAsia="方正仿宋_GBK"/>
          <w:sz w:val="32"/>
          <w:szCs w:val="32"/>
          <w:lang w:val="en"/>
        </w:rPr>
        <w:t>3</w:t>
      </w:r>
    </w:p>
    <w:p>
      <w:pPr>
        <w:pStyle w:val="14"/>
        <w:adjustRightInd w:val="0"/>
        <w:snapToGrid w:val="0"/>
        <w:spacing w:before="0" w:line="560" w:lineRule="exact"/>
        <w:jc w:val="left"/>
        <w:rPr>
          <w:rFonts w:hint="default" w:ascii="Times New Roman" w:hAnsi="Times New Roman" w:eastAsia="方正仿宋_GBK" w:cs="Times New Roman"/>
          <w:sz w:val="32"/>
          <w:szCs w:val="32"/>
          <w:lang w:val="en-US" w:eastAsia="zh-CN"/>
        </w:rPr>
      </w:pPr>
      <w:r>
        <w:rPr>
          <w:rFonts w:ascii="Times New Roman" w:hAnsi="Times New Roman" w:eastAsia="方正黑体_GBK"/>
          <w:sz w:val="32"/>
          <w:szCs w:val="32"/>
        </w:rPr>
        <w:t>第三部分 名词解释</w:t>
      </w:r>
      <w:r>
        <w:rPr>
          <w:rFonts w:eastAsia="方正仿宋_GBK"/>
          <w:kern w:val="2"/>
          <w:sz w:val="32"/>
          <w:szCs w:val="32"/>
        </w:rPr>
        <w:tab/>
      </w:r>
      <w:r>
        <w:rPr>
          <w:rFonts w:hint="default" w:ascii="Times New Roman" w:hAnsi="Times New Roman" w:eastAsia="方正仿宋_GBK" w:cs="Times New Roman"/>
          <w:kern w:val="2"/>
          <w:sz w:val="32"/>
          <w:szCs w:val="32"/>
          <w:lang w:val="en-US" w:eastAsia="zh-CN"/>
        </w:rPr>
        <w:t>15</w:t>
      </w:r>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第四部分 附件</w:t>
      </w:r>
    </w:p>
    <w:p>
      <w:pPr>
        <w:pStyle w:val="14"/>
        <w:adjustRightInd w:val="0"/>
        <w:snapToGrid w:val="0"/>
        <w:spacing w:line="560" w:lineRule="exact"/>
        <w:ind w:firstLine="640" w:firstLineChars="200"/>
        <w:jc w:val="left"/>
        <w:rPr>
          <w:rFonts w:ascii="Times New Roman" w:hAnsi="Times New Roman" w:eastAsia="方正仿宋_GBK"/>
          <w:sz w:val="32"/>
          <w:szCs w:val="32"/>
        </w:rPr>
      </w:pPr>
      <w:r>
        <w:rPr>
          <w:rFonts w:ascii="Times New Roman" w:hAnsi="Times New Roman" w:eastAsia="方正仿宋_GBK"/>
          <w:sz w:val="32"/>
          <w:szCs w:val="32"/>
        </w:rPr>
        <w:t>部门预算绩效评价报告</w:t>
      </w:r>
      <w:r>
        <w:rPr>
          <w:rFonts w:ascii="Times New Roman" w:hAnsi="Times New Roman" w:eastAsia="方正仿宋_GBK"/>
          <w:sz w:val="32"/>
          <w:szCs w:val="32"/>
        </w:rPr>
        <w:tab/>
      </w:r>
      <w:r>
        <w:rPr>
          <w:rFonts w:ascii="Times New Roman" w:hAnsi="Times New Roman" w:eastAsia="方正仿宋_GBK"/>
          <w:sz w:val="32"/>
          <w:szCs w:val="32"/>
        </w:rPr>
        <w:t>18</w:t>
      </w:r>
    </w:p>
    <w:p>
      <w:pPr>
        <w:pStyle w:val="14"/>
        <w:adjustRightInd w:val="0"/>
        <w:snapToGrid w:val="0"/>
        <w:spacing w:before="0" w:line="560" w:lineRule="exact"/>
        <w:jc w:val="left"/>
        <w:rPr>
          <w:rFonts w:ascii="Times New Roman" w:hAnsi="Times New Roman" w:eastAsia="方正黑体_GBK"/>
          <w:sz w:val="32"/>
          <w:szCs w:val="32"/>
        </w:rPr>
      </w:pPr>
      <w:r>
        <w:rPr>
          <w:rFonts w:ascii="Times New Roman" w:hAnsi="Times New Roman" w:eastAsia="方正黑体_GBK"/>
          <w:sz w:val="32"/>
          <w:szCs w:val="32"/>
        </w:rPr>
        <w:t>第五部分 附表</w:t>
      </w:r>
    </w:p>
    <w:p>
      <w:pPr>
        <w:pStyle w:val="37"/>
        <w:tabs>
          <w:tab w:val="right" w:leader="dot" w:pos="8306"/>
        </w:tabs>
        <w:spacing w:line="560" w:lineRule="exact"/>
        <w:ind w:left="420" w:firstLine="560"/>
        <w:rPr>
          <w:rFonts w:eastAsia="方正仿宋_GBK"/>
          <w:kern w:val="2"/>
          <w:sz w:val="32"/>
          <w:szCs w:val="32"/>
        </w:rPr>
      </w:pPr>
      <w:bookmarkStart w:id="6" w:name="_Toc15396599"/>
      <w:bookmarkStart w:id="7" w:name="_Toc15377196"/>
      <w:r>
        <w:rPr>
          <w:rFonts w:eastAsia="方正仿宋_GBK"/>
          <w:kern w:val="2"/>
          <w:sz w:val="32"/>
          <w:szCs w:val="32"/>
        </w:rPr>
        <w:fldChar w:fldCharType="begin"/>
      </w:r>
      <w:r>
        <w:rPr>
          <w:rFonts w:eastAsia="方正仿宋_GBK"/>
          <w:kern w:val="2"/>
          <w:sz w:val="32"/>
          <w:szCs w:val="32"/>
        </w:rPr>
        <w:instrText xml:space="preserve"> HYPERLINK \l _Toc1752875850_WPSOffice_Level2 </w:instrText>
      </w:r>
      <w:r>
        <w:rPr>
          <w:rFonts w:eastAsia="方正仿宋_GBK"/>
          <w:kern w:val="2"/>
          <w:sz w:val="32"/>
          <w:szCs w:val="32"/>
        </w:rPr>
        <w:fldChar w:fldCharType="separate"/>
      </w:r>
      <w:r>
        <w:rPr>
          <w:rFonts w:eastAsia="方正仿宋_GBK"/>
          <w:kern w:val="2"/>
          <w:sz w:val="32"/>
          <w:szCs w:val="32"/>
        </w:rPr>
        <w:t>一、收入支出决算总表</w:t>
      </w:r>
      <w:r>
        <w:rPr>
          <w:rFonts w:eastAsia="方正仿宋_GBK"/>
          <w:kern w:val="2"/>
          <w:sz w:val="32"/>
          <w:szCs w:val="32"/>
        </w:rPr>
        <w:tab/>
      </w:r>
      <w:r>
        <w:rPr>
          <w:rFonts w:eastAsia="方正仿宋_GBK"/>
          <w:kern w:val="2"/>
          <w:sz w:val="32"/>
          <w:szCs w:val="32"/>
        </w:rPr>
        <w:t>2</w:t>
      </w:r>
      <w:r>
        <w:rPr>
          <w:rFonts w:eastAsia="方正仿宋_GBK"/>
          <w:kern w:val="2"/>
          <w:sz w:val="32"/>
          <w:szCs w:val="32"/>
        </w:rPr>
        <w:fldChar w:fldCharType="end"/>
      </w:r>
      <w:r>
        <w:rPr>
          <w:rFonts w:eastAsia="方正仿宋_GBK"/>
          <w:kern w:val="2"/>
          <w:sz w:val="32"/>
          <w:szCs w:val="32"/>
        </w:rPr>
        <w:t>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"_Toc512240778_WPSOffice_Level2" </w:instrText>
      </w:r>
      <w:r>
        <w:fldChar w:fldCharType="separate"/>
      </w:r>
      <w:r>
        <w:rPr>
          <w:rFonts w:eastAsia="方正仿宋_GBK"/>
          <w:kern w:val="2"/>
          <w:sz w:val="32"/>
          <w:szCs w:val="32"/>
        </w:rPr>
        <w:t>二、收入决算表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"_Toc47969994_WPSOffice_Level2" </w:instrText>
      </w:r>
      <w:r>
        <w:fldChar w:fldCharType="separate"/>
      </w:r>
      <w:r>
        <w:rPr>
          <w:rFonts w:eastAsia="方正仿宋_GBK"/>
          <w:kern w:val="2"/>
          <w:sz w:val="32"/>
          <w:szCs w:val="32"/>
        </w:rPr>
        <w:t>三、支出决算表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"_Toc865038921_WPSOffice_Level2" </w:instrText>
      </w:r>
      <w:r>
        <w:fldChar w:fldCharType="separate"/>
      </w:r>
      <w:r>
        <w:rPr>
          <w:rFonts w:eastAsia="方正仿宋_GBK"/>
          <w:kern w:val="2"/>
          <w:sz w:val="32"/>
          <w:szCs w:val="32"/>
        </w:rPr>
        <w:t>四、财政拨款收入支出决算总表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"_Toc587184089_WPSOffice_Level2" </w:instrText>
      </w:r>
      <w:r>
        <w:fldChar w:fldCharType="separate"/>
      </w:r>
      <w:r>
        <w:rPr>
          <w:rFonts w:eastAsia="方正仿宋_GBK"/>
          <w:kern w:val="2"/>
          <w:sz w:val="32"/>
          <w:szCs w:val="32"/>
        </w:rPr>
        <w:t>五、财政拨款支出决算明细表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"_Toc1686154640_WPSOffice_Level2" </w:instrText>
      </w:r>
      <w:r>
        <w:fldChar w:fldCharType="separate"/>
      </w:r>
      <w:r>
        <w:rPr>
          <w:rFonts w:eastAsia="方正仿宋_GBK"/>
          <w:kern w:val="2"/>
          <w:sz w:val="32"/>
          <w:szCs w:val="32"/>
        </w:rPr>
        <w:t>六、一般公共预算财政拨款支出决算表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"_Toc1200471330_WPSOffice_Level2" </w:instrText>
      </w:r>
      <w:r>
        <w:fldChar w:fldCharType="separate"/>
      </w:r>
      <w:r>
        <w:rPr>
          <w:rFonts w:eastAsia="方正仿宋_GBK"/>
          <w:kern w:val="2"/>
          <w:sz w:val="32"/>
          <w:szCs w:val="32"/>
        </w:rPr>
        <w:t>七、一般公共预算财政拨款支出决算明细表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"_Toc2056206297_WPSOffice_Level2" </w:instrText>
      </w:r>
      <w:r>
        <w:fldChar w:fldCharType="separate"/>
      </w:r>
      <w:r>
        <w:rPr>
          <w:rFonts w:eastAsia="方正仿宋_GBK"/>
          <w:kern w:val="2"/>
          <w:sz w:val="32"/>
          <w:szCs w:val="32"/>
        </w:rPr>
        <w:t>八、一般公共预算财政拨款基本支出决算表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"_Toc1932062386_WPSOffice_Level2" </w:instrText>
      </w:r>
      <w:r>
        <w:fldChar w:fldCharType="separate"/>
      </w:r>
      <w:r>
        <w:rPr>
          <w:rFonts w:eastAsia="方正仿宋_GBK"/>
          <w:kern w:val="2"/>
          <w:sz w:val="32"/>
          <w:szCs w:val="32"/>
        </w:rPr>
        <w:t>九、一般公共预算财政拨款项目支出决算表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"_Toc1559458843_WPSOffice_Level2" </w:instrText>
      </w:r>
      <w:r>
        <w:fldChar w:fldCharType="separate"/>
      </w:r>
      <w:r>
        <w:rPr>
          <w:rFonts w:eastAsia="方正仿宋_GBK"/>
          <w:kern w:val="2"/>
          <w:sz w:val="32"/>
          <w:szCs w:val="32"/>
        </w:rPr>
        <w:t>十、政府性基金预算财政拨款收入支出决算表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"_Toc1564844337_WPSOffice_Level2" </w:instrText>
      </w:r>
      <w:r>
        <w:fldChar w:fldCharType="separate"/>
      </w:r>
      <w:r>
        <w:rPr>
          <w:rFonts w:eastAsia="方正仿宋_GBK"/>
          <w:kern w:val="2"/>
          <w:sz w:val="32"/>
          <w:szCs w:val="32"/>
        </w:rPr>
        <w:t>十一、国有资本经营预算财政拨款收入支出决算表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方正仿宋_GBK"/>
          <w:kern w:val="2"/>
          <w:sz w:val="32"/>
          <w:szCs w:val="32"/>
        </w:rPr>
      </w:pPr>
      <w:r>
        <w:fldChar w:fldCharType="begin"/>
      </w:r>
      <w:r>
        <w:instrText xml:space="preserve"> HYPERLINK \l "_Toc1592174913_WPSOffice_Level2" </w:instrText>
      </w:r>
      <w:r>
        <w:fldChar w:fldCharType="separate"/>
      </w:r>
      <w:r>
        <w:rPr>
          <w:rFonts w:eastAsia="方正仿宋_GBK"/>
          <w:kern w:val="2"/>
          <w:sz w:val="32"/>
          <w:szCs w:val="32"/>
        </w:rPr>
        <w:t>十二、国有资本经营预算财政拨款支出决算表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p>
    <w:p>
      <w:pPr>
        <w:pStyle w:val="37"/>
        <w:tabs>
          <w:tab w:val="right" w:leader="dot" w:pos="8306"/>
        </w:tabs>
        <w:spacing w:line="560" w:lineRule="exact"/>
        <w:ind w:left="420" w:firstLine="560"/>
        <w:rPr>
          <w:rFonts w:eastAsia="仿宋_GB2312"/>
          <w:kern w:val="2"/>
          <w:sz w:val="24"/>
          <w:szCs w:val="32"/>
        </w:rPr>
      </w:pPr>
      <w:r>
        <w:fldChar w:fldCharType="begin"/>
      </w:r>
      <w:r>
        <w:instrText xml:space="preserve"> HYPERLINK \l "_Toc1360885631_WPSOffice_Level2" </w:instrText>
      </w:r>
      <w:r>
        <w:fldChar w:fldCharType="separate"/>
      </w:r>
      <w:r>
        <w:rPr>
          <w:rFonts w:eastAsia="方正仿宋_GBK"/>
          <w:kern w:val="2"/>
          <w:sz w:val="32"/>
          <w:szCs w:val="32"/>
        </w:rPr>
        <w:t>十三、财政拨款“三公”经费支出决算表</w:t>
      </w:r>
      <w:r>
        <w:rPr>
          <w:rFonts w:eastAsia="方正仿宋_GBK"/>
          <w:kern w:val="2"/>
          <w:sz w:val="32"/>
          <w:szCs w:val="32"/>
        </w:rPr>
        <w:tab/>
      </w:r>
      <w:r>
        <w:rPr>
          <w:rFonts w:eastAsia="方正仿宋_GBK"/>
          <w:kern w:val="2"/>
          <w:sz w:val="32"/>
          <w:szCs w:val="32"/>
        </w:rPr>
        <w:fldChar w:fldCharType="end"/>
      </w:r>
      <w:r>
        <w:rPr>
          <w:rFonts w:eastAsia="方正仿宋_GBK"/>
          <w:kern w:val="2"/>
          <w:sz w:val="32"/>
          <w:szCs w:val="32"/>
        </w:rPr>
        <w:t>29</w:t>
      </w:r>
      <w:r>
        <w:rPr>
          <w:rFonts w:eastAsia="仿宋_GB2312"/>
          <w:kern w:val="2"/>
          <w:sz w:val="24"/>
          <w:szCs w:val="32"/>
        </w:rPr>
        <w:br w:type="page"/>
      </w:r>
    </w:p>
    <w:p>
      <w:pPr>
        <w:pStyle w:val="3"/>
        <w:jc w:val="center"/>
        <w:rPr>
          <w:rFonts w:eastAsia="方正小标宋简体"/>
          <w:b w:val="0"/>
        </w:rPr>
        <w:sectPr>
          <w:footerReference r:id="rId6" w:type="first"/>
          <w:footerReference r:id="rId5" w:type="default"/>
          <w:pgSz w:w="11906" w:h="16838"/>
          <w:pgMar w:top="1440" w:right="1800" w:bottom="1440" w:left="1800" w:header="567" w:footer="992" w:gutter="0"/>
          <w:pgNumType w:start="1"/>
          <w:cols w:space="425" w:num="1"/>
          <w:titlePg/>
          <w:docGrid w:type="lines" w:linePitch="312" w:charSpace="0"/>
        </w:sectPr>
      </w:pPr>
    </w:p>
    <w:p>
      <w:pPr>
        <w:pStyle w:val="3"/>
        <w:jc w:val="center"/>
        <w:rPr>
          <w:rStyle w:val="30"/>
          <w:rFonts w:eastAsia="方正小标宋简体"/>
          <w:b/>
          <w:bCs w:val="0"/>
        </w:rPr>
      </w:pPr>
      <w:r>
        <w:rPr>
          <w:rFonts w:eastAsia="方正小标宋简体"/>
          <w:b w:val="0"/>
        </w:rPr>
        <w:t xml:space="preserve">第一部分  </w:t>
      </w:r>
      <w:r>
        <w:rPr>
          <w:rStyle w:val="30"/>
          <w:rFonts w:eastAsia="方正小标宋简体"/>
          <w:b w:val="0"/>
          <w:bCs w:val="0"/>
        </w:rPr>
        <w:t>部门概况</w:t>
      </w:r>
      <w:bookmarkEnd w:id="6"/>
      <w:bookmarkEnd w:id="7"/>
    </w:p>
    <w:p>
      <w:pPr>
        <w:pStyle w:val="4"/>
        <w:spacing w:before="0" w:after="0" w:line="600" w:lineRule="exact"/>
        <w:ind w:firstLine="640" w:firstLineChars="200"/>
        <w:rPr>
          <w:rFonts w:ascii="Times New Roman" w:hAnsi="Times New Roman" w:eastAsia="方正黑体_GBK" w:cs="Times New Roman"/>
          <w:b w:val="0"/>
        </w:rPr>
      </w:pPr>
      <w:r>
        <w:rPr>
          <w:rFonts w:ascii="Times New Roman" w:hAnsi="Times New Roman" w:eastAsia="方正黑体_GBK" w:cs="Times New Roman"/>
          <w:b w:val="0"/>
        </w:rPr>
        <w:t>一、部门职责</w:t>
      </w:r>
    </w:p>
    <w:p>
      <w:pPr>
        <w:spacing w:line="600" w:lineRule="exact"/>
        <w:ind w:firstLine="640" w:firstLineChars="200"/>
        <w:rPr>
          <w:rFonts w:eastAsia="方正仿宋_GBK"/>
          <w:sz w:val="32"/>
          <w:szCs w:val="32"/>
        </w:rPr>
      </w:pPr>
      <w:r>
        <w:rPr>
          <w:rFonts w:eastAsia="方正仿宋_GBK"/>
          <w:sz w:val="32"/>
          <w:szCs w:val="32"/>
        </w:rPr>
        <w:t>根据攀枝花市人民政府批复的《攀枝花市统计局主要职责内设机构和人员编制规定的通知》（攀办发〔2011〕41号</w:t>
      </w:r>
      <w:r>
        <w:rPr>
          <w:rFonts w:hint="eastAsia" w:eastAsia="方正仿宋_GBK"/>
          <w:sz w:val="32"/>
          <w:szCs w:val="32"/>
        </w:rPr>
        <w:t>）</w:t>
      </w:r>
      <w:r>
        <w:rPr>
          <w:rFonts w:eastAsia="方正仿宋_GBK"/>
          <w:sz w:val="32"/>
          <w:szCs w:val="32"/>
        </w:rPr>
        <w:t>，攀枝花市统计局主要职责：</w:t>
      </w:r>
    </w:p>
    <w:p>
      <w:pPr>
        <w:spacing w:line="600" w:lineRule="exact"/>
        <w:ind w:firstLine="640" w:firstLineChars="200"/>
        <w:rPr>
          <w:rFonts w:eastAsia="方正仿宋_GBK"/>
          <w:sz w:val="32"/>
          <w:szCs w:val="32"/>
        </w:rPr>
      </w:pPr>
      <w:r>
        <w:rPr>
          <w:rFonts w:eastAsia="方正仿宋_GBK"/>
          <w:sz w:val="32"/>
          <w:szCs w:val="32"/>
        </w:rPr>
        <w:t>1.贯彻执行国家、四川省统计工作的方针、政策和法律、法规以及统计制度、统计标准，审批县（区）、市直部门的地方统计调查项目，承担组织领导和协调全市统计工作，确保统计数据真实、准确、及时的责任。</w:t>
      </w:r>
    </w:p>
    <w:p>
      <w:pPr>
        <w:spacing w:line="600" w:lineRule="exact"/>
        <w:ind w:firstLine="640" w:firstLineChars="200"/>
        <w:rPr>
          <w:rFonts w:eastAsia="方正仿宋_GBK"/>
          <w:sz w:val="32"/>
          <w:szCs w:val="32"/>
        </w:rPr>
      </w:pPr>
      <w:r>
        <w:rPr>
          <w:rFonts w:eastAsia="方正仿宋_GBK"/>
          <w:sz w:val="32"/>
          <w:szCs w:val="32"/>
        </w:rPr>
        <w:t>2.建立健全全市国民经济核算体系，组织实施全市国民经济核算制度，核算全市地区生产总值，整理提供国民经济核算资料，开展分析研究，指导、监督县（区）国民经济核算工作。</w:t>
      </w:r>
    </w:p>
    <w:p>
      <w:pPr>
        <w:spacing w:line="600" w:lineRule="exact"/>
        <w:ind w:firstLine="640" w:firstLineChars="200"/>
        <w:rPr>
          <w:rFonts w:eastAsia="方正仿宋_GBK"/>
          <w:sz w:val="32"/>
          <w:szCs w:val="32"/>
        </w:rPr>
      </w:pPr>
      <w:r>
        <w:rPr>
          <w:rFonts w:eastAsia="方正仿宋_GBK"/>
          <w:sz w:val="32"/>
          <w:szCs w:val="32"/>
        </w:rPr>
        <w:t>3.组织实施农林牧渔业、工业、建筑业、批发和零售业、住宿和餐饮业、房地产业等国民经济行业以及能源、投资、人口、科技、社会发展基本情况、环境基本状况等领域的统计调查，建立全市经济社会发展监测评价制度及指标体系，对重点区域和重要领域实施监测评价，牵头综合整理和提供资源、房屋、教育、卫生、邮电、交通运输、社会保障、公用事业、对外贸易、对外经济等全市基本统计资料。</w:t>
      </w:r>
    </w:p>
    <w:p>
      <w:pPr>
        <w:spacing w:line="600" w:lineRule="exact"/>
        <w:ind w:firstLine="640" w:firstLineChars="200"/>
        <w:rPr>
          <w:rFonts w:eastAsia="方正仿宋_GBK"/>
          <w:sz w:val="32"/>
          <w:szCs w:val="32"/>
        </w:rPr>
      </w:pPr>
      <w:r>
        <w:rPr>
          <w:rFonts w:eastAsia="方正仿宋_GBK"/>
          <w:sz w:val="32"/>
          <w:szCs w:val="32"/>
        </w:rPr>
        <w:t>4.组织实施人口、经济、农业等普查和重大国情国力专项调查，组织实施全市投入产出调查。</w:t>
      </w:r>
    </w:p>
    <w:p>
      <w:pPr>
        <w:spacing w:line="580" w:lineRule="exact"/>
        <w:ind w:firstLine="640" w:firstLineChars="200"/>
        <w:rPr>
          <w:rFonts w:eastAsia="方正仿宋_GBK"/>
          <w:sz w:val="32"/>
          <w:szCs w:val="32"/>
        </w:rPr>
      </w:pPr>
      <w:r>
        <w:rPr>
          <w:rFonts w:eastAsia="方正仿宋_GBK"/>
          <w:sz w:val="32"/>
          <w:szCs w:val="32"/>
        </w:rPr>
        <w:t>5.建立健全全市统计数据质量审核、监控和评估制度，依法对县（区）、市直管部门重要统计数据进行审核、监控和评估，组织指导统计基层基础建设。</w:t>
      </w:r>
    </w:p>
    <w:p>
      <w:pPr>
        <w:spacing w:line="580" w:lineRule="exact"/>
        <w:ind w:firstLine="640" w:firstLineChars="200"/>
        <w:rPr>
          <w:rFonts w:eastAsia="方正仿宋_GBK"/>
          <w:sz w:val="32"/>
          <w:szCs w:val="32"/>
        </w:rPr>
      </w:pPr>
      <w:r>
        <w:rPr>
          <w:rFonts w:eastAsia="方正仿宋_GBK"/>
          <w:sz w:val="32"/>
          <w:szCs w:val="32"/>
        </w:rPr>
        <w:t>6.对国民经济、社会发展、科技进步和资源环境等情况进行统计分析和预测，定期发布全市经济社会发展情况的统计信息，向市委、市政府及有关部门提供统计咨询建议，向社会公众提供统计信息服务。</w:t>
      </w:r>
    </w:p>
    <w:p>
      <w:pPr>
        <w:spacing w:line="580" w:lineRule="exact"/>
        <w:ind w:firstLine="640" w:firstLineChars="200"/>
        <w:rPr>
          <w:rFonts w:eastAsia="方正仿宋_GBK"/>
          <w:sz w:val="32"/>
          <w:szCs w:val="32"/>
        </w:rPr>
      </w:pPr>
      <w:r>
        <w:rPr>
          <w:rFonts w:eastAsia="方正仿宋_GBK"/>
          <w:sz w:val="32"/>
          <w:szCs w:val="32"/>
        </w:rPr>
        <w:t>7.协助管理县（区）统计局正副局长，会同有关部门组织管理全市统计专业资格考试、职务评聘工作，开展统计交流和合作，监督管理县（区）统计局由中央财政、省级财政和市级财政提供的统计事业专项经费。</w:t>
      </w:r>
    </w:p>
    <w:p>
      <w:pPr>
        <w:spacing w:line="580" w:lineRule="exact"/>
        <w:ind w:firstLine="640" w:firstLineChars="200"/>
        <w:rPr>
          <w:rFonts w:eastAsia="方正仿宋_GBK"/>
          <w:sz w:val="32"/>
          <w:szCs w:val="32"/>
        </w:rPr>
      </w:pPr>
      <w:r>
        <w:rPr>
          <w:rFonts w:eastAsia="方正仿宋_GBK"/>
          <w:sz w:val="32"/>
          <w:szCs w:val="32"/>
        </w:rPr>
        <w:t>8.组织制订县（区）、市直部门统计数据库和网络的基本标准和运行规则，建立健全全市统计数据库系统、视频会议系统、统计信息自动化系统，建立健全市级部门统计信息共享制度，指导县（区）统计信息化、视频会议系统建设。</w:t>
      </w:r>
    </w:p>
    <w:p>
      <w:pPr>
        <w:spacing w:line="580" w:lineRule="exact"/>
        <w:ind w:firstLine="640" w:firstLineChars="200"/>
        <w:rPr>
          <w:rFonts w:eastAsia="方正仿宋_GBK"/>
          <w:sz w:val="32"/>
          <w:szCs w:val="32"/>
        </w:rPr>
      </w:pPr>
      <w:r>
        <w:rPr>
          <w:rFonts w:eastAsia="方正仿宋_GBK"/>
          <w:sz w:val="32"/>
          <w:szCs w:val="32"/>
        </w:rPr>
        <w:t>9.承办市委、市政府交办的其他事项。</w:t>
      </w:r>
    </w:p>
    <w:p>
      <w:pPr>
        <w:pStyle w:val="4"/>
        <w:spacing w:before="0" w:after="0" w:line="580" w:lineRule="exact"/>
        <w:ind w:left="638" w:leftChars="304"/>
        <w:rPr>
          <w:rStyle w:val="31"/>
          <w:rFonts w:ascii="Times New Roman" w:hAnsi="Times New Roman" w:eastAsia="方正黑体_GBK" w:cs="Times New Roman"/>
          <w:b w:val="0"/>
          <w:bCs w:val="0"/>
        </w:rPr>
      </w:pPr>
      <w:bookmarkStart w:id="8" w:name="_Toc15377200"/>
      <w:bookmarkStart w:id="9" w:name="_Toc15396601"/>
      <w:r>
        <w:rPr>
          <w:rFonts w:ascii="Times New Roman" w:hAnsi="Times New Roman" w:eastAsia="方正黑体_GBK" w:cs="Times New Roman"/>
          <w:b w:val="0"/>
        </w:rPr>
        <w:t>二、机</w:t>
      </w:r>
      <w:r>
        <w:rPr>
          <w:rStyle w:val="31"/>
          <w:rFonts w:ascii="Times New Roman" w:hAnsi="Times New Roman" w:eastAsia="方正黑体_GBK" w:cs="Times New Roman"/>
          <w:b w:val="0"/>
          <w:bCs w:val="0"/>
        </w:rPr>
        <w:t>构设置</w:t>
      </w:r>
      <w:bookmarkEnd w:id="8"/>
      <w:bookmarkEnd w:id="9"/>
    </w:p>
    <w:p>
      <w:pPr>
        <w:adjustRightInd w:val="0"/>
        <w:snapToGrid w:val="0"/>
        <w:spacing w:line="580" w:lineRule="exact"/>
        <w:ind w:firstLine="640" w:firstLineChars="200"/>
        <w:rPr>
          <w:rFonts w:eastAsia="方正仿宋_GBK"/>
          <w:sz w:val="32"/>
          <w:szCs w:val="32"/>
        </w:rPr>
      </w:pPr>
      <w:bookmarkStart w:id="10" w:name="_Toc15396602"/>
      <w:bookmarkStart w:id="11" w:name="_Toc15377204"/>
      <w:r>
        <w:rPr>
          <w:rFonts w:eastAsia="方正仿宋_GBK"/>
          <w:sz w:val="32"/>
          <w:szCs w:val="32"/>
        </w:rPr>
        <w:t>根据攀机改〔2019〕2号、攀编发〔2019〕55号、攀编发〔2020〕42号文件，批准攀枝花市统计局内设机构共设7个，分别为办公室、攀枝花市统计局执法监督局、综合管理科、国民经济核算科、工业和能源环境统计科、农村经济和固定资产投资统计科、服务业和人口社会科技统计科。</w:t>
      </w:r>
    </w:p>
    <w:p>
      <w:pPr>
        <w:adjustRightInd w:val="0"/>
        <w:snapToGrid w:val="0"/>
        <w:spacing w:line="580" w:lineRule="exact"/>
        <w:ind w:firstLine="640" w:firstLineChars="200"/>
        <w:rPr>
          <w:rFonts w:eastAsia="方正仿宋_GBK"/>
          <w:color w:val="000000"/>
          <w:sz w:val="32"/>
          <w:szCs w:val="32"/>
        </w:rPr>
      </w:pPr>
      <w:r>
        <w:rPr>
          <w:rFonts w:eastAsia="方正仿宋_GBK"/>
          <w:color w:val="000000"/>
          <w:sz w:val="32"/>
          <w:szCs w:val="32"/>
        </w:rPr>
        <w:t>市统计局下属二级单位3个，</w:t>
      </w:r>
      <w:r>
        <w:rPr>
          <w:rFonts w:eastAsia="方正仿宋_GBK"/>
          <w:sz w:val="32"/>
          <w:szCs w:val="32"/>
        </w:rPr>
        <w:t>其中行政单位0个，</w:t>
      </w:r>
      <w:r>
        <w:rPr>
          <w:rFonts w:eastAsia="方正仿宋_GBK"/>
          <w:color w:val="000000"/>
          <w:sz w:val="32"/>
          <w:szCs w:val="32"/>
        </w:rPr>
        <w:t>参照公务员法管理的事业单位2个，其他事业单位1个。</w:t>
      </w:r>
    </w:p>
    <w:p>
      <w:pPr>
        <w:adjustRightInd w:val="0"/>
        <w:snapToGrid w:val="0"/>
        <w:spacing w:line="580" w:lineRule="exact"/>
        <w:ind w:firstLine="640" w:firstLineChars="200"/>
        <w:rPr>
          <w:rFonts w:eastAsia="方正仿宋_GBK"/>
          <w:sz w:val="32"/>
          <w:szCs w:val="32"/>
        </w:rPr>
      </w:pPr>
      <w:r>
        <w:rPr>
          <w:rFonts w:eastAsia="方正仿宋_GBK"/>
          <w:sz w:val="32"/>
          <w:szCs w:val="32"/>
        </w:rPr>
        <w:t>纳入攀枝花市统计局2025年度部门决算编制范围的二级预算单位包括：</w:t>
      </w:r>
    </w:p>
    <w:p>
      <w:pPr>
        <w:pStyle w:val="7"/>
        <w:adjustRightInd w:val="0"/>
        <w:snapToGrid w:val="0"/>
        <w:spacing w:beforeLines="0" w:line="580" w:lineRule="exact"/>
        <w:ind w:firstLine="640" w:firstLineChars="200"/>
        <w:outlineLvl w:val="2"/>
        <w:rPr>
          <w:rFonts w:ascii="Times New Roman" w:eastAsia="方正仿宋_GBK"/>
          <w:sz w:val="32"/>
          <w:szCs w:val="32"/>
        </w:rPr>
      </w:pPr>
      <w:bookmarkStart w:id="12" w:name="_Toc255252209"/>
      <w:bookmarkStart w:id="13" w:name="_Toc1638184645_WPSOffice_Level3"/>
      <w:bookmarkStart w:id="14" w:name="_Toc399042628"/>
      <w:r>
        <w:rPr>
          <w:rFonts w:ascii="Times New Roman" w:eastAsia="方正仿宋_GBK"/>
          <w:sz w:val="32"/>
          <w:szCs w:val="32"/>
        </w:rPr>
        <w:t>1.参照公务员法管理的事业单位：</w:t>
      </w:r>
      <w:bookmarkEnd w:id="12"/>
      <w:bookmarkEnd w:id="13"/>
      <w:bookmarkEnd w:id="14"/>
    </w:p>
    <w:p>
      <w:pPr>
        <w:pStyle w:val="7"/>
        <w:adjustRightInd w:val="0"/>
        <w:snapToGrid w:val="0"/>
        <w:spacing w:beforeLines="0" w:line="580" w:lineRule="exact"/>
        <w:ind w:firstLine="640" w:firstLineChars="200"/>
        <w:outlineLvl w:val="2"/>
        <w:rPr>
          <w:rFonts w:ascii="Times New Roman" w:eastAsia="方正仿宋_GBK"/>
          <w:sz w:val="32"/>
          <w:szCs w:val="32"/>
        </w:rPr>
      </w:pPr>
      <w:bookmarkStart w:id="15" w:name="_Toc1201957493"/>
      <w:bookmarkStart w:id="16" w:name="_Toc228079970"/>
      <w:r>
        <w:rPr>
          <w:rFonts w:ascii="Times New Roman" w:eastAsia="方正仿宋_GBK"/>
          <w:sz w:val="32"/>
          <w:szCs w:val="32"/>
        </w:rPr>
        <w:t>攀枝花市普查中心。</w:t>
      </w:r>
      <w:bookmarkEnd w:id="15"/>
      <w:bookmarkEnd w:id="16"/>
    </w:p>
    <w:p>
      <w:pPr>
        <w:pStyle w:val="7"/>
        <w:adjustRightInd w:val="0"/>
        <w:snapToGrid w:val="0"/>
        <w:spacing w:beforeLines="0" w:line="580" w:lineRule="exact"/>
        <w:ind w:firstLine="640" w:firstLineChars="200"/>
        <w:rPr>
          <w:rFonts w:ascii="Times New Roman" w:eastAsia="方正仿宋_GBK"/>
          <w:sz w:val="32"/>
          <w:szCs w:val="32"/>
        </w:rPr>
      </w:pPr>
      <w:r>
        <w:rPr>
          <w:rFonts w:ascii="Times New Roman" w:eastAsia="方正仿宋_GBK"/>
          <w:sz w:val="32"/>
          <w:szCs w:val="32"/>
        </w:rPr>
        <w:t>攀枝花市城市社会经济调查队（攀枝花市社情民意调查中心）。</w:t>
      </w:r>
    </w:p>
    <w:p>
      <w:pPr>
        <w:pStyle w:val="7"/>
        <w:adjustRightInd w:val="0"/>
        <w:snapToGrid w:val="0"/>
        <w:spacing w:beforeLines="0" w:line="580" w:lineRule="exact"/>
        <w:ind w:firstLine="640" w:firstLineChars="200"/>
        <w:rPr>
          <w:rFonts w:ascii="Times New Roman" w:eastAsia="方正仿宋_GBK"/>
          <w:sz w:val="32"/>
          <w:szCs w:val="32"/>
        </w:rPr>
      </w:pPr>
      <w:bookmarkStart w:id="17" w:name="_Toc335432409_WPSOffice_Level3"/>
      <w:r>
        <w:rPr>
          <w:rFonts w:ascii="Times New Roman" w:eastAsia="方正仿宋_GBK"/>
          <w:sz w:val="32"/>
          <w:szCs w:val="32"/>
        </w:rPr>
        <w:t>2.其他事业单位：</w:t>
      </w:r>
      <w:bookmarkEnd w:id="17"/>
    </w:p>
    <w:p>
      <w:pPr>
        <w:pStyle w:val="7"/>
        <w:adjustRightInd w:val="0"/>
        <w:snapToGrid w:val="0"/>
        <w:spacing w:beforeLines="0" w:line="580" w:lineRule="exact"/>
        <w:ind w:firstLine="640" w:firstLineChars="200"/>
        <w:rPr>
          <w:rFonts w:ascii="Times New Roman" w:eastAsia="方正仿宋_GBK"/>
          <w:sz w:val="32"/>
          <w:szCs w:val="32"/>
        </w:rPr>
      </w:pPr>
      <w:r>
        <w:rPr>
          <w:rFonts w:ascii="Times New Roman" w:eastAsia="方正仿宋_GBK"/>
          <w:sz w:val="32"/>
          <w:szCs w:val="32"/>
        </w:rPr>
        <w:t>攀枝花市统计局大数据中心。</w:t>
      </w:r>
    </w:p>
    <w:p>
      <w:pPr>
        <w:adjustRightInd w:val="0"/>
        <w:snapToGrid w:val="0"/>
        <w:spacing w:line="580" w:lineRule="exact"/>
        <w:ind w:firstLine="640" w:firstLineChars="200"/>
        <w:rPr>
          <w:rFonts w:eastAsia="方正仿宋_GBK"/>
          <w:sz w:val="32"/>
          <w:szCs w:val="32"/>
        </w:rPr>
      </w:pPr>
      <w:r>
        <w:rPr>
          <w:rFonts w:eastAsia="方正仿宋_GBK"/>
          <w:sz w:val="32"/>
          <w:szCs w:val="32"/>
        </w:rPr>
        <w:t>攀枝花市统计局下属单位财务、人事未独立核算。</w:t>
      </w:r>
    </w:p>
    <w:p>
      <w:pPr>
        <w:pStyle w:val="15"/>
        <w:spacing w:line="600" w:lineRule="exact"/>
        <w:rPr>
          <w:sz w:val="32"/>
        </w:rPr>
      </w:pPr>
    </w:p>
    <w:p>
      <w:pPr>
        <w:pStyle w:val="3"/>
        <w:spacing w:before="0" w:after="0" w:line="600" w:lineRule="exact"/>
        <w:jc w:val="center"/>
        <w:rPr>
          <w:rFonts w:eastAsia="方正小标宋简体"/>
          <w:b w:val="0"/>
        </w:rPr>
      </w:pPr>
      <w:r>
        <w:rPr>
          <w:rFonts w:eastAsia="方正小标宋简体"/>
          <w:b w:val="0"/>
        </w:rPr>
        <w:t>第二部分  2025年度部门决算情况说明</w:t>
      </w:r>
      <w:bookmarkEnd w:id="10"/>
      <w:bookmarkEnd w:id="11"/>
    </w:p>
    <w:p>
      <w:pPr>
        <w:pStyle w:val="29"/>
        <w:spacing w:line="600" w:lineRule="exact"/>
        <w:ind w:firstLine="640"/>
        <w:outlineLvl w:val="1"/>
        <w:rPr>
          <w:rFonts w:eastAsia="黑体"/>
          <w:sz w:val="32"/>
          <w:szCs w:val="32"/>
        </w:rPr>
      </w:pPr>
      <w:bookmarkStart w:id="18" w:name="_Toc15396603"/>
      <w:bookmarkStart w:id="19" w:name="_Toc15377205"/>
    </w:p>
    <w:p>
      <w:pPr>
        <w:pStyle w:val="29"/>
        <w:spacing w:line="680" w:lineRule="exact"/>
        <w:ind w:firstLine="640"/>
        <w:outlineLvl w:val="1"/>
        <w:rPr>
          <w:rStyle w:val="31"/>
          <w:rFonts w:ascii="Times New Roman" w:hAnsi="Times New Roman" w:eastAsia="方正黑体_GBK" w:cs="Times New Roman"/>
          <w:b w:val="0"/>
        </w:rPr>
      </w:pPr>
      <w:r>
        <w:rPr>
          <w:rFonts w:eastAsia="方正黑体_GBK"/>
          <w:sz w:val="32"/>
          <w:szCs w:val="32"/>
        </w:rPr>
        <w:t>一、收</w:t>
      </w:r>
      <w:r>
        <w:rPr>
          <w:rStyle w:val="31"/>
          <w:rFonts w:ascii="Times New Roman" w:hAnsi="Times New Roman" w:eastAsia="方正黑体_GBK" w:cs="Times New Roman"/>
          <w:b w:val="0"/>
        </w:rPr>
        <w:t>入支出决算总体情况说明</w:t>
      </w:r>
      <w:bookmarkEnd w:id="18"/>
      <w:bookmarkEnd w:id="19"/>
    </w:p>
    <w:p>
      <w:pPr>
        <w:adjustRightInd w:val="0"/>
        <w:snapToGrid w:val="0"/>
        <w:spacing w:line="680" w:lineRule="exact"/>
        <w:ind w:firstLine="640" w:firstLineChars="200"/>
        <w:rPr>
          <w:rFonts w:eastAsia="方正仿宋_GBK"/>
          <w:color w:val="000000" w:themeColor="text1"/>
          <w:sz w:val="32"/>
          <w:szCs w:val="32"/>
          <w14:textFill>
            <w14:solidFill>
              <w14:schemeClr w14:val="tx1"/>
            </w14:solidFill>
          </w14:textFill>
        </w:rPr>
      </w:pPr>
      <w:r>
        <w:rPr>
          <w:rFonts w:eastAsia="方正仿宋_GBK"/>
          <w:sz w:val="32"/>
          <w:szCs w:val="32"/>
        </w:rPr>
        <w:t>2025年度收入、支出总计均为1485.49万元。与2024年度相比，收入、支出总计各减少58万元，下降3.76%。</w:t>
      </w:r>
      <w:r>
        <w:rPr>
          <w:rFonts w:eastAsia="方正仿宋_GBK"/>
          <w:color w:val="000000"/>
          <w:sz w:val="32"/>
          <w:szCs w:val="32"/>
        </w:rPr>
        <w:t>主要变动</w:t>
      </w:r>
      <w:r>
        <w:rPr>
          <w:rFonts w:eastAsia="方正仿宋_GBK"/>
          <w:color w:val="000000" w:themeColor="text1"/>
          <w:sz w:val="32"/>
          <w:szCs w:val="32"/>
          <w14:textFill>
            <w14:solidFill>
              <w14:schemeClr w14:val="tx1"/>
            </w14:solidFill>
          </w14:textFill>
        </w:rPr>
        <w:t>原因是根据工作安排，项目较2024年有所调整，项目经费收入、支出较2024年减少。</w:t>
      </w:r>
    </w:p>
    <w:p>
      <w:pPr>
        <w:jc w:val="center"/>
        <w:rPr>
          <w:rFonts w:eastAsia="方正仿宋_GBK"/>
          <w:b/>
          <w:bCs/>
          <w:sz w:val="32"/>
          <w:szCs w:val="32"/>
        </w:rPr>
      </w:pPr>
      <w:r>
        <w:rPr>
          <w:rFonts w:eastAsia="方正仿宋_GBK"/>
          <w:b/>
          <w:bCs/>
          <w:sz w:val="32"/>
          <w:szCs w:val="32"/>
        </w:rPr>
        <w:t>（图1：收入、支出决算总计变动情况图）</w:t>
      </w:r>
    </w:p>
    <w:p>
      <w:pPr>
        <w:pStyle w:val="9"/>
        <w:ind w:left="0" w:leftChars="0" w:firstLine="0" w:firstLineChars="0"/>
        <w:jc w:val="center"/>
        <w:rPr>
          <w:rFonts w:ascii="Times New Roman"/>
        </w:rPr>
      </w:pPr>
      <w:r>
        <w:rPr>
          <w:rFonts w:ascii="Times New Roman"/>
        </w:rPr>
        <w:drawing>
          <wp:inline distT="0" distB="0" distL="0" distR="0">
            <wp:extent cx="4962525" cy="2677160"/>
            <wp:effectExtent l="4445" t="4445" r="5080"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Style w:val="29"/>
        <w:spacing w:line="600" w:lineRule="exact"/>
        <w:ind w:firstLine="640"/>
        <w:outlineLvl w:val="1"/>
        <w:rPr>
          <w:rFonts w:eastAsia="方正黑体_GBK"/>
          <w:sz w:val="32"/>
          <w:szCs w:val="32"/>
        </w:rPr>
      </w:pPr>
      <w:bookmarkStart w:id="20" w:name="_Toc15377206"/>
      <w:bookmarkStart w:id="21" w:name="_Toc15396604"/>
      <w:r>
        <w:rPr>
          <w:rFonts w:eastAsia="方正黑体_GBK"/>
          <w:sz w:val="32"/>
          <w:szCs w:val="32"/>
        </w:rPr>
        <w:t>二、收入决算情况说明</w:t>
      </w:r>
      <w:bookmarkEnd w:id="20"/>
      <w:bookmarkEnd w:id="21"/>
    </w:p>
    <w:p>
      <w:pPr>
        <w:pStyle w:val="29"/>
        <w:spacing w:line="600" w:lineRule="exact"/>
        <w:ind w:firstLine="640"/>
        <w:jc w:val="left"/>
        <w:outlineLvl w:val="1"/>
        <w:rPr>
          <w:rFonts w:eastAsia="方正仿宋_GBK"/>
          <w:b/>
          <w:bCs/>
          <w:sz w:val="32"/>
          <w:szCs w:val="32"/>
        </w:rPr>
      </w:pPr>
      <w:r>
        <w:rPr>
          <w:rFonts w:eastAsia="方正仿宋_GBK"/>
          <w:sz w:val="32"/>
          <w:szCs w:val="32"/>
        </w:rPr>
        <w:t>2025年度本年收入合计1466.49万元，其中：一般公共预算财政拨款收入1466.04万元，占99.97%；其他收入0.45万元，占0.03%。</w:t>
      </w:r>
    </w:p>
    <w:p>
      <w:pPr>
        <w:jc w:val="center"/>
        <w:rPr>
          <w:rFonts w:eastAsia="仿宋_GB2312"/>
          <w:b/>
          <w:bCs/>
          <w:sz w:val="32"/>
          <w:szCs w:val="32"/>
        </w:rPr>
      </w:pPr>
      <w:r>
        <w:rPr>
          <w:rFonts w:eastAsia="仿宋_GB2312"/>
          <w:b/>
          <w:bCs/>
          <w:sz w:val="32"/>
          <w:szCs w:val="32"/>
        </w:rPr>
        <w:t>（图2：收入决算结构图）</w:t>
      </w:r>
    </w:p>
    <w:p>
      <w:pPr>
        <w:jc w:val="center"/>
      </w:pPr>
      <w:r>
        <w:drawing>
          <wp:inline distT="0" distB="0" distL="0" distR="0">
            <wp:extent cx="4744085" cy="2696210"/>
            <wp:effectExtent l="4445" t="5080" r="13970" b="2286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Style w:val="15"/>
      </w:pPr>
    </w:p>
    <w:p>
      <w:pPr>
        <w:pStyle w:val="29"/>
        <w:spacing w:line="600" w:lineRule="exact"/>
        <w:ind w:firstLine="640"/>
        <w:outlineLvl w:val="1"/>
        <w:rPr>
          <w:rStyle w:val="31"/>
          <w:rFonts w:ascii="Times New Roman" w:hAnsi="Times New Roman" w:eastAsia="方正黑体_GBK" w:cs="Times New Roman"/>
          <w:b w:val="0"/>
        </w:rPr>
      </w:pPr>
      <w:bookmarkStart w:id="22" w:name="_Toc15396605"/>
      <w:bookmarkStart w:id="23" w:name="_Toc15377207"/>
      <w:r>
        <w:rPr>
          <w:rFonts w:eastAsia="方正黑体_GBK"/>
          <w:sz w:val="32"/>
          <w:szCs w:val="32"/>
        </w:rPr>
        <w:t>三、支</w:t>
      </w:r>
      <w:r>
        <w:rPr>
          <w:rStyle w:val="31"/>
          <w:rFonts w:ascii="Times New Roman" w:hAnsi="Times New Roman" w:eastAsia="方正黑体_GBK" w:cs="Times New Roman"/>
          <w:b w:val="0"/>
        </w:rPr>
        <w:t>出决算情况说明</w:t>
      </w:r>
      <w:bookmarkEnd w:id="22"/>
      <w:bookmarkEnd w:id="23"/>
    </w:p>
    <w:p>
      <w:pPr>
        <w:pStyle w:val="29"/>
        <w:spacing w:line="600" w:lineRule="exact"/>
        <w:ind w:firstLine="640"/>
        <w:jc w:val="left"/>
        <w:outlineLvl w:val="1"/>
        <w:rPr>
          <w:rFonts w:eastAsia="方正仿宋_GBK"/>
          <w:sz w:val="32"/>
          <w:szCs w:val="32"/>
        </w:rPr>
      </w:pPr>
      <w:r>
        <w:rPr>
          <w:rFonts w:eastAsia="方正仿宋_GBK"/>
          <w:sz w:val="32"/>
          <w:szCs w:val="32"/>
        </w:rPr>
        <w:t>2025年度本年支出合计1485.38万元，其中：基本支出1361.24万元，占91.64%；项目支出124.14万元，占8.36%。</w:t>
      </w:r>
    </w:p>
    <w:p>
      <w:pPr>
        <w:spacing w:line="400" w:lineRule="exact"/>
        <w:jc w:val="center"/>
        <w:rPr>
          <w:rFonts w:eastAsia="仿宋_GB2312"/>
          <w:b/>
          <w:bCs/>
          <w:sz w:val="32"/>
          <w:szCs w:val="32"/>
        </w:rPr>
      </w:pPr>
    </w:p>
    <w:p>
      <w:pPr>
        <w:jc w:val="center"/>
        <w:rPr>
          <w:rFonts w:eastAsia="仿宋_GB2312"/>
          <w:b/>
          <w:bCs/>
          <w:sz w:val="32"/>
          <w:szCs w:val="32"/>
        </w:rPr>
      </w:pPr>
      <w:r>
        <w:rPr>
          <w:rFonts w:eastAsia="仿宋_GB2312"/>
          <w:b/>
          <w:bCs/>
          <w:sz w:val="32"/>
          <w:szCs w:val="32"/>
        </w:rPr>
        <w:t>（图3：支出决算结构图）</w:t>
      </w:r>
    </w:p>
    <w:p>
      <w:pPr>
        <w:jc w:val="center"/>
        <w:rPr>
          <w:rFonts w:eastAsia="仿宋_GB2312"/>
          <w:sz w:val="32"/>
          <w:szCs w:val="32"/>
        </w:rPr>
      </w:pPr>
      <w:r>
        <w:drawing>
          <wp:inline distT="0" distB="0" distL="0" distR="0">
            <wp:extent cx="4743450" cy="3143250"/>
            <wp:effectExtent l="4445" t="4445" r="1460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firstLineChars="200"/>
        <w:outlineLvl w:val="1"/>
        <w:rPr>
          <w:rFonts w:eastAsia="黑体"/>
          <w:sz w:val="32"/>
          <w:szCs w:val="32"/>
        </w:rPr>
      </w:pPr>
      <w:bookmarkStart w:id="24" w:name="_Toc15396606"/>
      <w:bookmarkStart w:id="25" w:name="_Toc15377208"/>
    </w:p>
    <w:p>
      <w:pPr>
        <w:spacing w:line="600" w:lineRule="exact"/>
        <w:ind w:firstLine="640" w:firstLineChars="200"/>
        <w:outlineLvl w:val="1"/>
        <w:rPr>
          <w:rStyle w:val="31"/>
          <w:rFonts w:ascii="Times New Roman" w:hAnsi="Times New Roman" w:eastAsia="方正黑体_GBK" w:cs="Times New Roman"/>
          <w:b w:val="0"/>
        </w:rPr>
      </w:pPr>
      <w:r>
        <w:rPr>
          <w:rFonts w:eastAsia="方正黑体_GBK"/>
          <w:sz w:val="32"/>
          <w:szCs w:val="32"/>
        </w:rPr>
        <w:t>四、财</w:t>
      </w:r>
      <w:r>
        <w:rPr>
          <w:rStyle w:val="31"/>
          <w:rFonts w:ascii="Times New Roman" w:hAnsi="Times New Roman" w:eastAsia="方正黑体_GBK" w:cs="Times New Roman"/>
          <w:b w:val="0"/>
        </w:rPr>
        <w:t>政拨款收入支出决算总体情况说明</w:t>
      </w:r>
      <w:bookmarkEnd w:id="24"/>
      <w:bookmarkEnd w:id="25"/>
    </w:p>
    <w:p>
      <w:pPr>
        <w:adjustRightInd w:val="0"/>
        <w:snapToGrid w:val="0"/>
        <w:spacing w:line="600" w:lineRule="exact"/>
        <w:ind w:firstLine="640" w:firstLineChars="200"/>
        <w:rPr>
          <w:rFonts w:eastAsia="方正仿宋_GBK"/>
          <w:color w:val="000000"/>
          <w:sz w:val="32"/>
          <w:szCs w:val="32"/>
        </w:rPr>
      </w:pPr>
      <w:r>
        <w:rPr>
          <w:rFonts w:eastAsia="方正仿宋_GBK"/>
          <w:sz w:val="32"/>
          <w:szCs w:val="32"/>
        </w:rPr>
        <w:t>2025年度财政拨款收入、支出总计均为1466.04万元。与2024年度相比，财政拨款收入总计、支出总计各增加13.77万元，增长0.95%。主要变动原因是</w:t>
      </w:r>
      <w:r>
        <w:rPr>
          <w:rFonts w:eastAsia="方正仿宋_GBK"/>
          <w:color w:val="000000"/>
          <w:sz w:val="32"/>
          <w:szCs w:val="32"/>
        </w:rPr>
        <w:t>2025年人员变动导致人员经费增加且购置一辆公务用车价值24.98万元导致公用经费增加。</w:t>
      </w:r>
    </w:p>
    <w:p>
      <w:pPr>
        <w:adjustRightInd w:val="0"/>
        <w:snapToGrid w:val="0"/>
        <w:spacing w:line="600" w:lineRule="exact"/>
        <w:jc w:val="center"/>
        <w:rPr>
          <w:rFonts w:eastAsia="仿宋_GB2312"/>
          <w:sz w:val="32"/>
          <w:szCs w:val="32"/>
        </w:rPr>
      </w:pPr>
    </w:p>
    <w:p>
      <w:pPr>
        <w:adjustRightInd w:val="0"/>
        <w:snapToGrid w:val="0"/>
        <w:spacing w:line="353" w:lineRule="auto"/>
        <w:jc w:val="center"/>
        <w:rPr>
          <w:rFonts w:eastAsia="仿宋_GB2312"/>
          <w:sz w:val="32"/>
          <w:szCs w:val="32"/>
        </w:rPr>
      </w:pPr>
    </w:p>
    <w:p>
      <w:pPr>
        <w:adjustRightInd w:val="0"/>
        <w:snapToGrid w:val="0"/>
        <w:spacing w:line="353" w:lineRule="auto"/>
        <w:jc w:val="center"/>
        <w:rPr>
          <w:rFonts w:eastAsia="方正仿宋_GBK"/>
          <w:b/>
          <w:bCs/>
          <w:sz w:val="32"/>
          <w:szCs w:val="32"/>
        </w:rPr>
      </w:pPr>
      <w:r>
        <w:rPr>
          <w:rFonts w:eastAsia="方正仿宋_GBK"/>
          <w:b/>
          <w:bCs/>
          <w:sz w:val="32"/>
          <w:szCs w:val="32"/>
        </w:rPr>
        <w:t>（图4：财政拨款收、支决算总计变动情况）</w:t>
      </w:r>
    </w:p>
    <w:p>
      <w:pPr>
        <w:pStyle w:val="9"/>
        <w:ind w:left="0" w:leftChars="0" w:firstLine="0" w:firstLineChars="0"/>
        <w:jc w:val="center"/>
        <w:rPr>
          <w:rFonts w:ascii="Times New Roman"/>
        </w:rPr>
      </w:pPr>
      <w:r>
        <w:rPr>
          <w:rFonts w:ascii="Times New Roman"/>
        </w:rPr>
        <w:drawing>
          <wp:inline distT="0" distB="0" distL="0" distR="0">
            <wp:extent cx="4210685" cy="2115185"/>
            <wp:effectExtent l="5080" t="4445" r="13335" b="1397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640" w:firstLineChars="200"/>
        <w:outlineLvl w:val="1"/>
        <w:rPr>
          <w:rStyle w:val="31"/>
          <w:rFonts w:ascii="Times New Roman" w:hAnsi="Times New Roman" w:eastAsia="方正黑体_GBK" w:cs="Times New Roman"/>
          <w:b w:val="0"/>
        </w:rPr>
      </w:pPr>
      <w:bookmarkStart w:id="26" w:name="_Toc15377209"/>
      <w:bookmarkStart w:id="27" w:name="_Toc15396607"/>
      <w:r>
        <w:rPr>
          <w:rFonts w:eastAsia="方正黑体_GBK"/>
          <w:sz w:val="32"/>
          <w:szCs w:val="32"/>
        </w:rPr>
        <w:t>五、</w:t>
      </w:r>
      <w:r>
        <w:rPr>
          <w:rFonts w:eastAsia="方正黑体_GBK"/>
          <w:b/>
          <w:sz w:val="32"/>
          <w:szCs w:val="32"/>
        </w:rPr>
        <w:t>一</w:t>
      </w:r>
      <w:r>
        <w:rPr>
          <w:rStyle w:val="31"/>
          <w:rFonts w:ascii="Times New Roman" w:hAnsi="Times New Roman" w:eastAsia="方正黑体_GBK" w:cs="Times New Roman"/>
          <w:b w:val="0"/>
        </w:rPr>
        <w:t>般公共预算财政拨款支出决算情况说明</w:t>
      </w:r>
      <w:bookmarkEnd w:id="26"/>
      <w:bookmarkEnd w:id="27"/>
    </w:p>
    <w:p>
      <w:pPr>
        <w:spacing w:line="600" w:lineRule="exact"/>
        <w:ind w:firstLine="642" w:firstLineChars="200"/>
        <w:outlineLvl w:val="2"/>
        <w:rPr>
          <w:rFonts w:eastAsia="方正楷体_GBK"/>
          <w:b/>
          <w:sz w:val="32"/>
          <w:szCs w:val="32"/>
        </w:rPr>
      </w:pPr>
      <w:bookmarkStart w:id="28" w:name="_Toc15377210"/>
      <w:r>
        <w:rPr>
          <w:rFonts w:eastAsia="方正楷体_GBK"/>
          <w:b/>
          <w:sz w:val="32"/>
          <w:szCs w:val="32"/>
        </w:rPr>
        <w:t>（一）一般公共预算财政拨款支出决算总体情况</w:t>
      </w:r>
      <w:bookmarkEnd w:id="28"/>
    </w:p>
    <w:p>
      <w:pPr>
        <w:adjustRightInd w:val="0"/>
        <w:snapToGrid w:val="0"/>
        <w:spacing w:line="600" w:lineRule="exact"/>
        <w:ind w:firstLine="640" w:firstLineChars="200"/>
        <w:rPr>
          <w:rFonts w:eastAsia="方正仿宋_GBK"/>
          <w:color w:val="000000"/>
          <w:sz w:val="32"/>
          <w:szCs w:val="32"/>
        </w:rPr>
      </w:pPr>
      <w:r>
        <w:rPr>
          <w:rFonts w:eastAsia="方正仿宋_GBK"/>
          <w:sz w:val="32"/>
          <w:szCs w:val="32"/>
        </w:rPr>
        <w:t>2025年度一般公共预算财政拨款支出1466.04万元，占本年支出合计的98.70%。与2024年度相比，一般公共预算财政拨款支出增加13.77万元，增长0.95%。主要变动原因是</w:t>
      </w:r>
      <w:r>
        <w:rPr>
          <w:rFonts w:eastAsia="方正仿宋_GBK"/>
          <w:color w:val="000000"/>
          <w:sz w:val="32"/>
          <w:szCs w:val="32"/>
        </w:rPr>
        <w:t>2025年人员变动导致人员经费增加且购置一辆公务用车价值24.98万元导致公用经费增加。</w:t>
      </w:r>
    </w:p>
    <w:p>
      <w:pPr>
        <w:adjustRightInd w:val="0"/>
        <w:snapToGrid w:val="0"/>
        <w:spacing w:line="600" w:lineRule="exact"/>
        <w:ind w:firstLine="642" w:firstLineChars="200"/>
        <w:rPr>
          <w:rFonts w:eastAsia="仿宋_GB2312"/>
          <w:b/>
          <w:bCs/>
          <w:sz w:val="32"/>
          <w:szCs w:val="32"/>
        </w:rPr>
      </w:pPr>
      <w:r>
        <w:rPr>
          <w:rFonts w:eastAsia="仿宋_GB2312"/>
          <w:b/>
          <w:bCs/>
          <w:sz w:val="32"/>
          <w:szCs w:val="32"/>
        </w:rPr>
        <w:t>（图5：一般公共预算财政拨款支出决算变动情况）</w:t>
      </w:r>
    </w:p>
    <w:p>
      <w:pPr>
        <w:pStyle w:val="9"/>
        <w:ind w:left="420"/>
        <w:rPr>
          <w:rFonts w:ascii="Times New Roman"/>
        </w:rPr>
      </w:pPr>
      <w:r>
        <w:rPr>
          <w:rFonts w:ascii="Times New Roman"/>
        </w:rPr>
        <w:drawing>
          <wp:inline distT="0" distB="0" distL="0" distR="0">
            <wp:extent cx="4686300" cy="2210435"/>
            <wp:effectExtent l="4445" t="5080" r="14605" b="1333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2" w:firstLineChars="200"/>
        <w:outlineLvl w:val="2"/>
        <w:rPr>
          <w:rFonts w:eastAsia="方正楷体_GBK"/>
          <w:b/>
          <w:sz w:val="32"/>
          <w:szCs w:val="32"/>
        </w:rPr>
      </w:pPr>
      <w:bookmarkStart w:id="29" w:name="_Toc15377211"/>
      <w:r>
        <w:rPr>
          <w:rFonts w:eastAsia="方正楷体_GBK"/>
          <w:b/>
          <w:sz w:val="32"/>
          <w:szCs w:val="32"/>
        </w:rPr>
        <w:t>（二）一般公共预算财政拨款支出决算结构情况</w:t>
      </w:r>
      <w:bookmarkEnd w:id="29"/>
    </w:p>
    <w:p>
      <w:pPr>
        <w:spacing w:line="600" w:lineRule="exact"/>
        <w:ind w:firstLine="640"/>
        <w:rPr>
          <w:rFonts w:eastAsia="方正仿宋_GBK"/>
          <w:b/>
          <w:bCs/>
          <w:sz w:val="32"/>
          <w:szCs w:val="32"/>
        </w:rPr>
      </w:pPr>
      <w:r>
        <w:rPr>
          <w:rFonts w:eastAsia="方正仿宋_GBK"/>
          <w:sz w:val="32"/>
          <w:szCs w:val="32"/>
        </w:rPr>
        <w:t>2025年度一般公共预算财政拨款支出1466.04万元，主要用于以下方面：一般公共服务支出1113.14万元，占75.93%；社会保障和就业支出199.18万元，占13.59%；卫生健康支出65.23万元，占4.45%；住房保障支出88.49万元，占6.04%。</w:t>
      </w:r>
    </w:p>
    <w:p>
      <w:pPr>
        <w:pStyle w:val="15"/>
      </w:pPr>
    </w:p>
    <w:p>
      <w:pPr>
        <w:spacing w:line="600" w:lineRule="exact"/>
        <w:jc w:val="center"/>
        <w:rPr>
          <w:rFonts w:eastAsia="仿宋_GB2312"/>
          <w:b/>
          <w:bCs/>
          <w:sz w:val="32"/>
          <w:szCs w:val="32"/>
        </w:rPr>
      </w:pPr>
      <w:r>
        <w:rPr>
          <w:rFonts w:eastAsia="仿宋_GB2312"/>
          <w:b/>
          <w:bCs/>
          <w:sz w:val="32"/>
          <w:szCs w:val="32"/>
        </w:rPr>
        <w:t>（图6：一般公共预算财政拨款支出决算结构）</w:t>
      </w:r>
    </w:p>
    <w:p>
      <w:pPr>
        <w:pStyle w:val="15"/>
      </w:pPr>
    </w:p>
    <w:p>
      <w:pPr>
        <w:pStyle w:val="15"/>
        <w:jc w:val="center"/>
      </w:pPr>
      <w:r>
        <w:drawing>
          <wp:inline distT="0" distB="0" distL="0" distR="0">
            <wp:extent cx="4467860" cy="3335020"/>
            <wp:effectExtent l="5080" t="4445" r="22860" b="13335"/>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pStyle w:val="9"/>
        <w:ind w:left="420"/>
        <w:rPr>
          <w:rFonts w:ascii="Times New Roman"/>
        </w:rPr>
      </w:pPr>
    </w:p>
    <w:p>
      <w:pPr>
        <w:spacing w:line="600" w:lineRule="exact"/>
        <w:ind w:firstLine="642" w:firstLineChars="200"/>
        <w:outlineLvl w:val="2"/>
        <w:rPr>
          <w:rFonts w:eastAsia="方正楷体_GBK"/>
          <w:b/>
          <w:sz w:val="32"/>
          <w:szCs w:val="32"/>
        </w:rPr>
      </w:pPr>
      <w:bookmarkStart w:id="30" w:name="_Toc15377212"/>
      <w:r>
        <w:rPr>
          <w:rFonts w:eastAsia="方正楷体_GBK"/>
          <w:b/>
          <w:sz w:val="32"/>
          <w:szCs w:val="32"/>
        </w:rPr>
        <w:t>（三）一般公共预算财政拨款支出决算具体情况</w:t>
      </w:r>
      <w:bookmarkEnd w:id="30"/>
    </w:p>
    <w:p>
      <w:pPr>
        <w:spacing w:line="600" w:lineRule="exact"/>
        <w:ind w:firstLine="640"/>
        <w:rPr>
          <w:rFonts w:eastAsia="方正仿宋_GBK"/>
          <w:sz w:val="32"/>
          <w:szCs w:val="32"/>
        </w:rPr>
      </w:pPr>
      <w:bookmarkStart w:id="31" w:name="_Toc15378460"/>
      <w:bookmarkStart w:id="32" w:name="_Toc15377213"/>
      <w:bookmarkStart w:id="33" w:name="_Toc15377444"/>
      <w:r>
        <w:rPr>
          <w:rFonts w:eastAsia="方正仿宋_GBK"/>
          <w:sz w:val="32"/>
          <w:szCs w:val="32"/>
        </w:rPr>
        <w:t>2025年度一般公共预算财政拨款支出决算数为1466.04万元，完成预算100%。其中：</w:t>
      </w:r>
      <w:bookmarkEnd w:id="31"/>
      <w:bookmarkEnd w:id="32"/>
      <w:bookmarkEnd w:id="33"/>
    </w:p>
    <w:p>
      <w:pPr>
        <w:spacing w:line="600" w:lineRule="exact"/>
        <w:ind w:firstLine="640"/>
        <w:rPr>
          <w:rFonts w:eastAsia="方正仿宋_GBK"/>
          <w:sz w:val="32"/>
          <w:szCs w:val="32"/>
        </w:rPr>
      </w:pPr>
      <w:r>
        <w:rPr>
          <w:rFonts w:eastAsia="方正仿宋_GBK"/>
          <w:sz w:val="32"/>
          <w:szCs w:val="32"/>
        </w:rPr>
        <w:t>1.一般公共服务支出（类）统计信息事务（款）行政运行（项）: 支出决算为917.57万元，完成预算100%。</w:t>
      </w:r>
    </w:p>
    <w:p>
      <w:pPr>
        <w:spacing w:line="600" w:lineRule="exact"/>
        <w:ind w:firstLine="640"/>
        <w:rPr>
          <w:rFonts w:eastAsia="方正仿宋_GBK"/>
          <w:sz w:val="32"/>
          <w:szCs w:val="32"/>
        </w:rPr>
      </w:pPr>
      <w:r>
        <w:rPr>
          <w:rFonts w:eastAsia="方正仿宋_GBK"/>
          <w:sz w:val="32"/>
          <w:szCs w:val="32"/>
        </w:rPr>
        <w:t>2.一般公共服务支出（类）统计信息事务（款）信息事务（项）</w:t>
      </w:r>
      <w:r>
        <w:rPr>
          <w:rFonts w:hint="eastAsia" w:eastAsia="方正仿宋_GBK"/>
          <w:sz w:val="32"/>
          <w:szCs w:val="32"/>
        </w:rPr>
        <w:t>：</w:t>
      </w:r>
      <w:r>
        <w:rPr>
          <w:rFonts w:eastAsia="方正仿宋_GBK"/>
          <w:sz w:val="32"/>
          <w:szCs w:val="32"/>
        </w:rPr>
        <w:t>支出决算为10.88万元，完成预算100%。</w:t>
      </w:r>
    </w:p>
    <w:p>
      <w:pPr>
        <w:spacing w:line="600" w:lineRule="exact"/>
        <w:ind w:firstLine="640"/>
        <w:rPr>
          <w:rFonts w:eastAsia="方正仿宋_GBK"/>
          <w:sz w:val="32"/>
          <w:szCs w:val="32"/>
        </w:rPr>
      </w:pPr>
      <w:r>
        <w:rPr>
          <w:rFonts w:eastAsia="方正仿宋_GBK"/>
          <w:sz w:val="32"/>
          <w:szCs w:val="32"/>
        </w:rPr>
        <w:t>3.一般公共服务支出（类）统计信息事务（款）专项统计业务（项）</w:t>
      </w:r>
      <w:r>
        <w:rPr>
          <w:rFonts w:hint="eastAsia" w:eastAsia="方正仿宋_GBK"/>
          <w:sz w:val="32"/>
          <w:szCs w:val="32"/>
        </w:rPr>
        <w:t>：</w:t>
      </w:r>
      <w:r>
        <w:rPr>
          <w:rFonts w:eastAsia="方正仿宋_GBK"/>
          <w:sz w:val="32"/>
          <w:szCs w:val="32"/>
        </w:rPr>
        <w:t>支出决算为42.73万元，完成预算100%。</w:t>
      </w:r>
    </w:p>
    <w:p>
      <w:pPr>
        <w:spacing w:line="600" w:lineRule="exact"/>
        <w:ind w:firstLine="640"/>
        <w:rPr>
          <w:rFonts w:eastAsia="方正仿宋_GBK"/>
          <w:sz w:val="32"/>
          <w:szCs w:val="32"/>
        </w:rPr>
      </w:pPr>
      <w:r>
        <w:rPr>
          <w:rFonts w:eastAsia="方正仿宋_GBK"/>
          <w:sz w:val="32"/>
          <w:szCs w:val="32"/>
        </w:rPr>
        <w:t>4.一般公共服务支出（类）统计信息事务（款）专项普查活动（项）</w:t>
      </w:r>
      <w:r>
        <w:rPr>
          <w:rFonts w:hint="eastAsia" w:eastAsia="方正仿宋_GBK"/>
          <w:sz w:val="32"/>
          <w:szCs w:val="32"/>
        </w:rPr>
        <w:t>：</w:t>
      </w:r>
      <w:r>
        <w:rPr>
          <w:rFonts w:eastAsia="方正仿宋_GBK"/>
          <w:sz w:val="32"/>
          <w:szCs w:val="32"/>
        </w:rPr>
        <w:t>支出决算为13.58万元，完成预算100%。</w:t>
      </w:r>
    </w:p>
    <w:p>
      <w:pPr>
        <w:spacing w:line="600" w:lineRule="exact"/>
        <w:ind w:firstLine="640"/>
        <w:rPr>
          <w:rFonts w:eastAsia="方正仿宋_GBK"/>
          <w:sz w:val="32"/>
          <w:szCs w:val="32"/>
        </w:rPr>
      </w:pPr>
      <w:r>
        <w:rPr>
          <w:rFonts w:eastAsia="方正仿宋_GBK"/>
          <w:sz w:val="32"/>
          <w:szCs w:val="32"/>
        </w:rPr>
        <w:t>5.一般公共服务支出（类）统计信息事务（款）统计抽样调查（项）</w:t>
      </w:r>
      <w:r>
        <w:rPr>
          <w:rFonts w:hint="eastAsia" w:eastAsia="方正仿宋_GBK"/>
          <w:sz w:val="32"/>
          <w:szCs w:val="32"/>
        </w:rPr>
        <w:t>：</w:t>
      </w:r>
      <w:r>
        <w:rPr>
          <w:rFonts w:eastAsia="方正仿宋_GBK"/>
          <w:sz w:val="32"/>
          <w:szCs w:val="32"/>
        </w:rPr>
        <w:t>支出决算为29.60万元，完成预算100%。</w:t>
      </w:r>
    </w:p>
    <w:p>
      <w:pPr>
        <w:spacing w:line="600" w:lineRule="exact"/>
        <w:ind w:firstLine="640"/>
        <w:rPr>
          <w:rFonts w:eastAsia="方正仿宋_GBK"/>
          <w:sz w:val="32"/>
          <w:szCs w:val="32"/>
        </w:rPr>
      </w:pPr>
      <w:r>
        <w:rPr>
          <w:rFonts w:eastAsia="方正仿宋_GBK"/>
          <w:sz w:val="32"/>
          <w:szCs w:val="32"/>
        </w:rPr>
        <w:t>6.一般公共服务支出（类）统计信息事务（款）事业运行（项）</w:t>
      </w:r>
      <w:r>
        <w:rPr>
          <w:rFonts w:hint="eastAsia" w:eastAsia="方正仿宋_GBK"/>
          <w:sz w:val="32"/>
          <w:szCs w:val="32"/>
        </w:rPr>
        <w:t>：</w:t>
      </w:r>
      <w:r>
        <w:rPr>
          <w:rFonts w:eastAsia="方正仿宋_GBK"/>
          <w:sz w:val="32"/>
          <w:szCs w:val="32"/>
        </w:rPr>
        <w:t>支出决算为91.57万元，完成预算100%。</w:t>
      </w:r>
    </w:p>
    <w:p>
      <w:pPr>
        <w:spacing w:line="600" w:lineRule="exact"/>
        <w:ind w:firstLine="640"/>
        <w:rPr>
          <w:rFonts w:eastAsia="方正仿宋_GBK"/>
          <w:sz w:val="32"/>
          <w:szCs w:val="32"/>
        </w:rPr>
      </w:pPr>
      <w:r>
        <w:rPr>
          <w:rFonts w:eastAsia="方正仿宋_GBK"/>
          <w:sz w:val="32"/>
          <w:szCs w:val="32"/>
        </w:rPr>
        <w:t>7.一般公共服务支出（类）统计信息事务（款）其他统计信息事务支出（项）</w:t>
      </w:r>
      <w:r>
        <w:rPr>
          <w:rFonts w:hint="eastAsia" w:eastAsia="方正仿宋_GBK"/>
          <w:sz w:val="32"/>
          <w:szCs w:val="32"/>
        </w:rPr>
        <w:t>：</w:t>
      </w:r>
      <w:r>
        <w:rPr>
          <w:rFonts w:eastAsia="方正仿宋_GBK"/>
          <w:sz w:val="32"/>
          <w:szCs w:val="32"/>
        </w:rPr>
        <w:t>支出决算为5万元，完成预算100%。</w:t>
      </w:r>
    </w:p>
    <w:p>
      <w:pPr>
        <w:spacing w:line="600" w:lineRule="exact"/>
        <w:ind w:firstLine="640"/>
        <w:rPr>
          <w:rFonts w:eastAsia="方正仿宋_GBK"/>
          <w:sz w:val="32"/>
          <w:szCs w:val="32"/>
        </w:rPr>
      </w:pPr>
      <w:r>
        <w:rPr>
          <w:rFonts w:eastAsia="方正仿宋_GBK"/>
          <w:sz w:val="32"/>
          <w:szCs w:val="32"/>
        </w:rPr>
        <w:t>8.一般公共服务支出（类）组织事务（款）其他组织事务（项）</w:t>
      </w:r>
      <w:r>
        <w:rPr>
          <w:rFonts w:hint="eastAsia" w:eastAsia="方正仿宋_GBK"/>
          <w:sz w:val="32"/>
          <w:szCs w:val="32"/>
        </w:rPr>
        <w:t>：</w:t>
      </w:r>
      <w:r>
        <w:rPr>
          <w:rFonts w:eastAsia="方正仿宋_GBK"/>
          <w:sz w:val="32"/>
          <w:szCs w:val="32"/>
        </w:rPr>
        <w:t>支出决算为2.20万元，完成预算100%。</w:t>
      </w:r>
    </w:p>
    <w:p>
      <w:pPr>
        <w:spacing w:line="600" w:lineRule="exact"/>
        <w:ind w:firstLine="640"/>
        <w:rPr>
          <w:rFonts w:eastAsia="方正仿宋_GBK"/>
          <w:sz w:val="32"/>
          <w:szCs w:val="32"/>
        </w:rPr>
      </w:pPr>
      <w:r>
        <w:rPr>
          <w:rFonts w:eastAsia="方正仿宋_GBK"/>
          <w:sz w:val="32"/>
          <w:szCs w:val="32"/>
        </w:rPr>
        <w:t>9.社会保障和就业支出（类）行政事业单位养老支出（款）行政单位离退休（项）</w:t>
      </w:r>
      <w:r>
        <w:rPr>
          <w:rFonts w:hint="eastAsia" w:eastAsia="方正仿宋_GBK"/>
          <w:sz w:val="32"/>
          <w:szCs w:val="32"/>
        </w:rPr>
        <w:t>：</w:t>
      </w:r>
      <w:r>
        <w:rPr>
          <w:rFonts w:eastAsia="方正仿宋_GBK"/>
          <w:sz w:val="32"/>
          <w:szCs w:val="32"/>
        </w:rPr>
        <w:t>支出决算为89.24万元，完成预算100%。</w:t>
      </w:r>
    </w:p>
    <w:p>
      <w:pPr>
        <w:spacing w:line="600" w:lineRule="exact"/>
        <w:ind w:firstLine="640"/>
        <w:rPr>
          <w:rFonts w:eastAsia="方正仿宋_GBK"/>
          <w:sz w:val="32"/>
          <w:szCs w:val="32"/>
        </w:rPr>
      </w:pPr>
      <w:r>
        <w:rPr>
          <w:rFonts w:eastAsia="方正仿宋_GBK"/>
          <w:sz w:val="32"/>
          <w:szCs w:val="32"/>
        </w:rPr>
        <w:t>10.社会保障和就业支出（类）行政事业单位养老支出（款）机关事业单位基本养老保险缴费支出（项）</w:t>
      </w:r>
      <w:r>
        <w:rPr>
          <w:rFonts w:hint="eastAsia" w:eastAsia="方正仿宋_GBK"/>
          <w:sz w:val="32"/>
          <w:szCs w:val="32"/>
        </w:rPr>
        <w:t>：</w:t>
      </w:r>
      <w:r>
        <w:rPr>
          <w:rFonts w:eastAsia="方正仿宋_GBK"/>
          <w:sz w:val="32"/>
          <w:szCs w:val="32"/>
        </w:rPr>
        <w:t>支出决算为109.33万元，完成预算100%。</w:t>
      </w:r>
    </w:p>
    <w:p>
      <w:pPr>
        <w:spacing w:line="600" w:lineRule="exact"/>
        <w:ind w:firstLine="640"/>
        <w:rPr>
          <w:rFonts w:eastAsia="方正仿宋_GBK"/>
          <w:sz w:val="32"/>
          <w:szCs w:val="32"/>
        </w:rPr>
      </w:pPr>
      <w:r>
        <w:rPr>
          <w:rFonts w:eastAsia="方正仿宋_GBK"/>
          <w:sz w:val="32"/>
          <w:szCs w:val="32"/>
        </w:rPr>
        <w:t>11.社会保障和就业支出（类）社会福利（款）儿童福利（项）</w:t>
      </w:r>
      <w:r>
        <w:rPr>
          <w:rFonts w:hint="eastAsia" w:eastAsia="方正仿宋_GBK"/>
          <w:sz w:val="32"/>
          <w:szCs w:val="32"/>
        </w:rPr>
        <w:t>：</w:t>
      </w:r>
      <w:r>
        <w:rPr>
          <w:rFonts w:eastAsia="方正仿宋_GBK"/>
          <w:sz w:val="32"/>
          <w:szCs w:val="32"/>
        </w:rPr>
        <w:t>支出决算为0.62万元，完成预算100%。</w:t>
      </w:r>
    </w:p>
    <w:p>
      <w:pPr>
        <w:spacing w:line="600" w:lineRule="exact"/>
        <w:ind w:firstLine="640"/>
        <w:rPr>
          <w:rFonts w:eastAsia="方正仿宋_GBK"/>
          <w:sz w:val="32"/>
          <w:szCs w:val="32"/>
        </w:rPr>
      </w:pPr>
      <w:r>
        <w:rPr>
          <w:rFonts w:eastAsia="方正仿宋_GBK"/>
          <w:sz w:val="32"/>
          <w:szCs w:val="32"/>
        </w:rPr>
        <w:t>12.卫生健康支出（类）行政事业单位医疗（款）行政单位医疗（项）</w:t>
      </w:r>
      <w:r>
        <w:rPr>
          <w:rFonts w:hint="eastAsia" w:eastAsia="方正仿宋_GBK"/>
          <w:sz w:val="32"/>
          <w:szCs w:val="32"/>
        </w:rPr>
        <w:t>：</w:t>
      </w:r>
      <w:r>
        <w:rPr>
          <w:rFonts w:eastAsia="方正仿宋_GBK"/>
          <w:sz w:val="32"/>
          <w:szCs w:val="32"/>
        </w:rPr>
        <w:t>支出决算为53.15万元，完成预算100%。</w:t>
      </w:r>
    </w:p>
    <w:p>
      <w:pPr>
        <w:spacing w:line="600" w:lineRule="exact"/>
        <w:ind w:firstLine="640"/>
        <w:rPr>
          <w:rFonts w:eastAsia="方正仿宋_GBK"/>
          <w:sz w:val="32"/>
          <w:szCs w:val="32"/>
        </w:rPr>
      </w:pPr>
      <w:r>
        <w:rPr>
          <w:rFonts w:eastAsia="方正仿宋_GBK"/>
          <w:sz w:val="32"/>
          <w:szCs w:val="32"/>
        </w:rPr>
        <w:t>13.卫生健康支出（类）行政事业单位医疗（款）事业单位医疗（项）</w:t>
      </w:r>
      <w:r>
        <w:rPr>
          <w:rFonts w:hint="eastAsia" w:eastAsia="方正仿宋_GBK"/>
          <w:sz w:val="32"/>
          <w:szCs w:val="32"/>
        </w:rPr>
        <w:t>：</w:t>
      </w:r>
      <w:r>
        <w:rPr>
          <w:rFonts w:eastAsia="方正仿宋_GBK"/>
          <w:sz w:val="32"/>
          <w:szCs w:val="32"/>
        </w:rPr>
        <w:t>支出决算为5.75万元，完成预算100%。</w:t>
      </w:r>
    </w:p>
    <w:p>
      <w:pPr>
        <w:spacing w:line="600" w:lineRule="exact"/>
        <w:ind w:firstLine="640"/>
        <w:rPr>
          <w:rFonts w:eastAsia="方正仿宋_GBK"/>
          <w:sz w:val="32"/>
          <w:szCs w:val="32"/>
        </w:rPr>
      </w:pPr>
      <w:r>
        <w:rPr>
          <w:rFonts w:eastAsia="方正仿宋_GBK"/>
          <w:sz w:val="32"/>
          <w:szCs w:val="32"/>
        </w:rPr>
        <w:t>14.卫生健康支出（类）行政事业单位医疗（款）公务员医疗补助（项）</w:t>
      </w:r>
      <w:r>
        <w:rPr>
          <w:rFonts w:hint="eastAsia" w:eastAsia="方正仿宋_GBK"/>
          <w:sz w:val="32"/>
          <w:szCs w:val="32"/>
        </w:rPr>
        <w:t>：</w:t>
      </w:r>
      <w:r>
        <w:rPr>
          <w:rFonts w:eastAsia="方正仿宋_GBK"/>
          <w:sz w:val="32"/>
          <w:szCs w:val="32"/>
        </w:rPr>
        <w:t>支出决算为6.15万元，完成预算100%。</w:t>
      </w:r>
    </w:p>
    <w:p>
      <w:pPr>
        <w:spacing w:line="600" w:lineRule="exact"/>
        <w:ind w:firstLine="640"/>
        <w:rPr>
          <w:rFonts w:eastAsia="方正仿宋_GBK"/>
          <w:sz w:val="32"/>
          <w:szCs w:val="32"/>
        </w:rPr>
      </w:pPr>
      <w:r>
        <w:rPr>
          <w:rFonts w:eastAsia="方正仿宋_GBK"/>
          <w:sz w:val="32"/>
          <w:szCs w:val="32"/>
        </w:rPr>
        <w:t>15.卫生健康支出（类）其他卫生健康支出（款）其他卫生健康支出（项）</w:t>
      </w:r>
      <w:r>
        <w:rPr>
          <w:rFonts w:hint="eastAsia" w:eastAsia="方正仿宋_GBK"/>
          <w:sz w:val="32"/>
          <w:szCs w:val="32"/>
        </w:rPr>
        <w:t>：</w:t>
      </w:r>
      <w:r>
        <w:rPr>
          <w:rFonts w:eastAsia="方正仿宋_GBK"/>
          <w:sz w:val="32"/>
          <w:szCs w:val="32"/>
        </w:rPr>
        <w:t>支出决算为0.18万元，完成预算100%。</w:t>
      </w:r>
    </w:p>
    <w:p>
      <w:pPr>
        <w:spacing w:line="600" w:lineRule="exact"/>
        <w:ind w:firstLine="640"/>
        <w:rPr>
          <w:rFonts w:eastAsia="方正仿宋_GBK"/>
          <w:sz w:val="32"/>
          <w:szCs w:val="32"/>
        </w:rPr>
      </w:pPr>
      <w:r>
        <w:rPr>
          <w:rFonts w:eastAsia="方正仿宋_GBK"/>
          <w:sz w:val="32"/>
          <w:szCs w:val="32"/>
        </w:rPr>
        <w:t>16. 住房保障支出（类）住房改革支出（款）住房公积金（项）</w:t>
      </w:r>
      <w:r>
        <w:rPr>
          <w:rFonts w:hint="eastAsia" w:eastAsia="方正仿宋_GBK"/>
          <w:sz w:val="32"/>
          <w:szCs w:val="32"/>
        </w:rPr>
        <w:t>：</w:t>
      </w:r>
      <w:r>
        <w:rPr>
          <w:rFonts w:eastAsia="方正仿宋_GBK"/>
          <w:sz w:val="32"/>
          <w:szCs w:val="32"/>
        </w:rPr>
        <w:t>支出决算为88.49万元，完成预算100%。</w:t>
      </w:r>
    </w:p>
    <w:p>
      <w:pPr>
        <w:tabs>
          <w:tab w:val="right" w:pos="8306"/>
        </w:tabs>
        <w:spacing w:line="600" w:lineRule="exact"/>
        <w:ind w:firstLine="640"/>
        <w:outlineLvl w:val="1"/>
        <w:rPr>
          <w:rStyle w:val="31"/>
          <w:rFonts w:ascii="Times New Roman" w:hAnsi="Times New Roman" w:eastAsia="方正黑体_GBK" w:cs="Times New Roman"/>
        </w:rPr>
      </w:pPr>
      <w:bookmarkStart w:id="34" w:name="_Toc15396608"/>
      <w:bookmarkStart w:id="35" w:name="_Toc15377214"/>
      <w:r>
        <w:rPr>
          <w:rFonts w:eastAsia="方正黑体_GBK"/>
          <w:sz w:val="32"/>
          <w:szCs w:val="32"/>
        </w:rPr>
        <w:t>六</w:t>
      </w:r>
      <w:r>
        <w:rPr>
          <w:rFonts w:eastAsia="方正黑体_GBK"/>
          <w:b/>
          <w:sz w:val="32"/>
          <w:szCs w:val="32"/>
        </w:rPr>
        <w:t>、一</w:t>
      </w:r>
      <w:r>
        <w:rPr>
          <w:rStyle w:val="31"/>
          <w:rFonts w:ascii="Times New Roman" w:hAnsi="Times New Roman" w:eastAsia="方正黑体_GBK" w:cs="Times New Roman"/>
          <w:b w:val="0"/>
        </w:rPr>
        <w:t>般公共预算财政拨款基本支出决算情况说明</w:t>
      </w:r>
      <w:bookmarkEnd w:id="34"/>
      <w:bookmarkEnd w:id="35"/>
      <w:r>
        <w:rPr>
          <w:rStyle w:val="31"/>
          <w:rFonts w:ascii="Times New Roman" w:hAnsi="Times New Roman" w:eastAsia="方正黑体_GBK" w:cs="Times New Roman"/>
          <w:b w:val="0"/>
        </w:rPr>
        <w:tab/>
      </w:r>
    </w:p>
    <w:p>
      <w:pPr>
        <w:spacing w:line="600" w:lineRule="exact"/>
        <w:ind w:firstLine="640"/>
        <w:rPr>
          <w:rFonts w:eastAsia="方正仿宋_GBK"/>
          <w:sz w:val="32"/>
          <w:szCs w:val="32"/>
        </w:rPr>
      </w:pPr>
      <w:r>
        <w:rPr>
          <w:rFonts w:eastAsia="方正仿宋_GBK"/>
          <w:sz w:val="32"/>
          <w:szCs w:val="32"/>
        </w:rPr>
        <w:t>2025年度一般公共预算财政拨款基本支出1361.24万元，其中：</w:t>
      </w:r>
    </w:p>
    <w:p>
      <w:pPr>
        <w:spacing w:line="600" w:lineRule="exact"/>
        <w:ind w:firstLine="640"/>
        <w:rPr>
          <w:rFonts w:eastAsia="方正仿宋_GBK"/>
          <w:sz w:val="32"/>
          <w:szCs w:val="32"/>
        </w:rPr>
      </w:pPr>
      <w:r>
        <w:rPr>
          <w:rFonts w:eastAsia="方正仿宋_GBK"/>
          <w:sz w:val="32"/>
          <w:szCs w:val="32"/>
        </w:rPr>
        <w:t>人员经费1186.90万元，主要包括：基本工资、津贴补贴、奖金、绩效工资、机关事业单位基本养老保险缴费、职工基本医疗保险缴费、公务员医疗补助缴费、其他社会保障缴费、住房公积金、其他工资福利支出、生活补助、医疗费补助、奖励金等。</w:t>
      </w:r>
      <w:r>
        <w:rPr>
          <w:rFonts w:eastAsia="方正仿宋_GBK"/>
          <w:sz w:val="32"/>
          <w:szCs w:val="32"/>
        </w:rPr>
        <w:br w:type="textWrapping"/>
      </w:r>
      <w:r>
        <w:rPr>
          <w:rFonts w:eastAsia="方正仿宋_GBK"/>
          <w:sz w:val="32"/>
          <w:szCs w:val="32"/>
        </w:rPr>
        <w:t>　　公用经费174.34万元，主要包括：办公费、印刷费、水费、电费、邮电费、物业管理费、差旅费、公务接待费、委托业务费、工会经费、福利费、公务用车运行维护费、其他交通费、其他商品和服务支出、公务用车购置等。</w:t>
      </w:r>
    </w:p>
    <w:p>
      <w:pPr>
        <w:spacing w:line="600" w:lineRule="exact"/>
        <w:ind w:firstLine="640"/>
        <w:outlineLvl w:val="1"/>
        <w:rPr>
          <w:rStyle w:val="31"/>
          <w:rFonts w:ascii="Times New Roman" w:hAnsi="Times New Roman" w:eastAsia="方正黑体_GBK" w:cs="Times New Roman"/>
          <w:b w:val="0"/>
        </w:rPr>
      </w:pPr>
      <w:bookmarkStart w:id="36" w:name="_Toc15377215"/>
      <w:bookmarkStart w:id="37" w:name="_Toc15396609"/>
      <w:r>
        <w:rPr>
          <w:rFonts w:eastAsia="方正黑体_GBK"/>
          <w:sz w:val="32"/>
          <w:szCs w:val="32"/>
        </w:rPr>
        <w:t>七、</w:t>
      </w:r>
      <w:r>
        <w:rPr>
          <w:rStyle w:val="31"/>
          <w:rFonts w:ascii="Times New Roman" w:hAnsi="Times New Roman" w:eastAsia="方正黑体_GBK" w:cs="Times New Roman"/>
          <w:b w:val="0"/>
        </w:rPr>
        <w:t>财政拨款</w:t>
      </w:r>
      <w:r>
        <w:rPr>
          <w:rStyle w:val="31"/>
          <w:rFonts w:ascii="Times New Roman" w:hAnsi="Times New Roman" w:eastAsia="方正黑体_GBK" w:cs="Times New Roman"/>
        </w:rPr>
        <w:t>“</w:t>
      </w:r>
      <w:r>
        <w:rPr>
          <w:rStyle w:val="31"/>
          <w:rFonts w:ascii="Times New Roman" w:hAnsi="Times New Roman" w:eastAsia="方正黑体_GBK" w:cs="Times New Roman"/>
          <w:b w:val="0"/>
        </w:rPr>
        <w:t>三公”经费支出决算情况说明</w:t>
      </w:r>
      <w:bookmarkEnd w:id="36"/>
      <w:bookmarkEnd w:id="37"/>
    </w:p>
    <w:p>
      <w:pPr>
        <w:spacing w:line="600" w:lineRule="exact"/>
        <w:ind w:firstLine="642" w:firstLineChars="200"/>
        <w:outlineLvl w:val="2"/>
        <w:rPr>
          <w:rFonts w:eastAsia="方正楷体_GBK"/>
          <w:b/>
          <w:sz w:val="32"/>
          <w:szCs w:val="32"/>
        </w:rPr>
      </w:pPr>
      <w:bookmarkStart w:id="38" w:name="_Toc15377216"/>
      <w:r>
        <w:rPr>
          <w:rFonts w:eastAsia="方正楷体_GBK"/>
          <w:b/>
          <w:sz w:val="32"/>
          <w:szCs w:val="32"/>
        </w:rPr>
        <w:t>（一）财政拨款“三公”经费支出决算总体情况说明</w:t>
      </w:r>
      <w:bookmarkEnd w:id="38"/>
    </w:p>
    <w:p>
      <w:pPr>
        <w:spacing w:line="600" w:lineRule="exact"/>
        <w:ind w:firstLine="64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2025年度财政拨款“三公”经费支出决算为26.63万元，完成预算100%，公务用车购置费支出较上年度增加25万元，2024年无公务用车购置支出。公务用车运行维护费支出较上年减少0.01万元，下降0.88%。公务接待费支出较上年减少1.11万元，下降68.52%。</w:t>
      </w:r>
    </w:p>
    <w:p>
      <w:pPr>
        <w:spacing w:line="600" w:lineRule="exact"/>
        <w:ind w:firstLine="642" w:firstLineChars="200"/>
        <w:outlineLvl w:val="2"/>
        <w:rPr>
          <w:rFonts w:eastAsia="方正楷体_GBK"/>
          <w:b/>
          <w:sz w:val="32"/>
          <w:szCs w:val="32"/>
        </w:rPr>
      </w:pPr>
      <w:bookmarkStart w:id="39" w:name="_Toc15377217"/>
      <w:r>
        <w:rPr>
          <w:rFonts w:eastAsia="方正楷体_GBK"/>
          <w:b/>
          <w:sz w:val="32"/>
          <w:szCs w:val="32"/>
        </w:rPr>
        <w:t>（二）财政拨款“三公”经费支出决算具体情况说明</w:t>
      </w:r>
      <w:bookmarkEnd w:id="39"/>
    </w:p>
    <w:p>
      <w:pPr>
        <w:spacing w:line="600" w:lineRule="exact"/>
        <w:ind w:firstLine="640"/>
        <w:rPr>
          <w:rFonts w:eastAsia="方正仿宋_GBK"/>
          <w:sz w:val="32"/>
          <w:szCs w:val="32"/>
        </w:rPr>
      </w:pPr>
      <w:r>
        <w:rPr>
          <w:rFonts w:eastAsia="方正仿宋_GBK"/>
          <w:sz w:val="32"/>
          <w:szCs w:val="32"/>
        </w:rPr>
        <w:t>2025年度财政拨款“三公”经费支出决算中，因公出国（境）费用支出决算0万元，占0%。公务用车购置费支出决算25万元，占93.88%。公车运行维护费支出决算1.12万元，占4.2%。公务接待费支出决算0.51万元，占1.92%。具体情况如下：</w:t>
      </w:r>
    </w:p>
    <w:p>
      <w:pPr>
        <w:pStyle w:val="2"/>
        <w:ind w:firstLine="420"/>
        <w:rPr>
          <w:rFonts w:cs="Times New Roman"/>
          <w:sz w:val="21"/>
          <w:szCs w:val="21"/>
        </w:rPr>
      </w:pPr>
    </w:p>
    <w:p>
      <w:pPr>
        <w:spacing w:line="600" w:lineRule="exact"/>
        <w:jc w:val="center"/>
        <w:rPr>
          <w:rFonts w:eastAsia="方正仿宋_GBK"/>
          <w:b/>
          <w:bCs/>
          <w:sz w:val="32"/>
          <w:szCs w:val="32"/>
        </w:rPr>
      </w:pPr>
      <w:r>
        <w:rPr>
          <w:rFonts w:eastAsia="方正仿宋_GBK"/>
          <w:b/>
          <w:bCs/>
          <w:sz w:val="32"/>
          <w:szCs w:val="32"/>
        </w:rPr>
        <w:t>（图7：“三公”经费财政拨款支出结构）</w:t>
      </w:r>
    </w:p>
    <w:p>
      <w:pPr>
        <w:pStyle w:val="15"/>
      </w:pPr>
    </w:p>
    <w:p>
      <w:pPr>
        <w:pStyle w:val="9"/>
        <w:ind w:left="0" w:leftChars="0" w:firstLine="0" w:firstLineChars="0"/>
        <w:jc w:val="center"/>
        <w:rPr>
          <w:rFonts w:ascii="Times New Roman"/>
        </w:rPr>
      </w:pPr>
      <w:r>
        <w:rPr>
          <w:rFonts w:ascii="Times New Roman"/>
        </w:rPr>
        <w:drawing>
          <wp:inline distT="0" distB="0" distL="0" distR="0">
            <wp:extent cx="4572635" cy="2743200"/>
            <wp:effectExtent l="4445" t="4445" r="13970" b="14605"/>
            <wp:docPr id="17"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ind w:firstLine="642" w:firstLineChars="200"/>
        <w:rPr>
          <w:rFonts w:eastAsia="方正仿宋_GBK"/>
          <w:sz w:val="32"/>
          <w:szCs w:val="32"/>
        </w:rPr>
      </w:pPr>
      <w:r>
        <w:rPr>
          <w:rFonts w:eastAsia="方正仿宋_GBK"/>
          <w:b/>
          <w:bCs/>
          <w:sz w:val="32"/>
          <w:szCs w:val="32"/>
        </w:rPr>
        <w:t>1.因公出国（境）经费支出0万元，完成预算0%。</w:t>
      </w:r>
      <w:r>
        <w:rPr>
          <w:rFonts w:eastAsia="方正仿宋_GBK"/>
          <w:sz w:val="32"/>
          <w:szCs w:val="32"/>
        </w:rPr>
        <w:t>全年安排因公出国（境）团组0次，出国（境）0人。2024年度无因公出国（境）经费支出。</w:t>
      </w:r>
    </w:p>
    <w:p>
      <w:pPr>
        <w:spacing w:line="600" w:lineRule="exact"/>
        <w:ind w:firstLine="642" w:firstLineChars="200"/>
        <w:rPr>
          <w:rFonts w:eastAsia="方正仿宋_GBK"/>
          <w:b/>
          <w:sz w:val="32"/>
          <w:szCs w:val="32"/>
        </w:rPr>
      </w:pPr>
      <w:r>
        <w:rPr>
          <w:rFonts w:eastAsia="方正仿宋_GBK"/>
          <w:b/>
          <w:bCs/>
          <w:sz w:val="32"/>
          <w:szCs w:val="32"/>
        </w:rPr>
        <w:t>2.公务用车购置及运行维护费支出26.12万元，完成预算100%。</w:t>
      </w:r>
      <w:r>
        <w:rPr>
          <w:rFonts w:eastAsia="方正仿宋_GBK"/>
          <w:sz w:val="32"/>
          <w:szCs w:val="32"/>
        </w:rPr>
        <w:t>公务用车购置支出25万元，公务用车购置支出决算比上年度增加2</w:t>
      </w:r>
      <w:r>
        <w:rPr>
          <w:rFonts w:eastAsia="方正仿宋_GBK"/>
          <w:color w:val="000000" w:themeColor="text1"/>
          <w:sz w:val="32"/>
          <w:szCs w:val="32"/>
          <w14:textFill>
            <w14:solidFill>
              <w14:schemeClr w14:val="tx1"/>
            </w14:solidFill>
          </w14:textFill>
        </w:rPr>
        <w:t>5万元，2024年无公务用车购置支出。</w:t>
      </w:r>
      <w:r>
        <w:rPr>
          <w:rFonts w:eastAsia="方正仿宋_GBK"/>
          <w:sz w:val="32"/>
          <w:szCs w:val="32"/>
        </w:rPr>
        <w:t>公车运行维护费支出1.12万</w:t>
      </w:r>
      <w:r>
        <w:rPr>
          <w:rFonts w:hint="eastAsia" w:eastAsia="方正仿宋_GBK"/>
          <w:sz w:val="32"/>
          <w:szCs w:val="32"/>
        </w:rPr>
        <w:t>，</w:t>
      </w:r>
      <w:r>
        <w:rPr>
          <w:rFonts w:eastAsia="方正仿宋_GBK"/>
          <w:sz w:val="32"/>
          <w:szCs w:val="32"/>
        </w:rPr>
        <w:t>公务用车运行维护费支出决算比上年度减少0.01万元，下降0.88%。主要原因是落实财政过紧日子政策，压减三公经费支出。</w:t>
      </w:r>
    </w:p>
    <w:p>
      <w:pPr>
        <w:spacing w:line="600" w:lineRule="exact"/>
        <w:ind w:firstLine="640"/>
        <w:rPr>
          <w:rFonts w:eastAsia="方正仿宋_GBK"/>
          <w:sz w:val="32"/>
          <w:szCs w:val="32"/>
        </w:rPr>
      </w:pPr>
      <w:r>
        <w:rPr>
          <w:rFonts w:eastAsia="方正仿宋_GBK"/>
          <w:sz w:val="32"/>
          <w:szCs w:val="32"/>
        </w:rPr>
        <w:t>其中：公务用车购置支出25万元。全年按规定更新购置公务用车1辆。其中:越野车1辆，金额25万元，主要用于开展各类统计调查、第五次全国经济普查等工作数据核查、赴县（区）业务指导等工作。截至2025年12月31日，单位共有公务用车2辆，其中：轿车1辆、越野车1辆、载客汽车0辆。</w:t>
      </w:r>
    </w:p>
    <w:p>
      <w:pPr>
        <w:spacing w:line="600" w:lineRule="exact"/>
        <w:ind w:firstLine="640"/>
        <w:rPr>
          <w:rFonts w:eastAsia="方正仿宋_GBK"/>
          <w:sz w:val="32"/>
          <w:szCs w:val="32"/>
        </w:rPr>
      </w:pPr>
      <w:r>
        <w:rPr>
          <w:rFonts w:eastAsia="方正仿宋_GBK"/>
          <w:sz w:val="32"/>
          <w:szCs w:val="32"/>
        </w:rPr>
        <w:t>公务用车运行维护费支出1.12万元。主要用于开展各类统计调查、第五次全国经济普查等工作数据核查、赴县（区）业务指导等工作所需的公务用车燃料费、维修费、停车费、过路过桥费、保险费等支出。</w:t>
      </w:r>
    </w:p>
    <w:p>
      <w:pPr>
        <w:spacing w:line="600" w:lineRule="exact"/>
        <w:ind w:firstLine="640"/>
        <w:rPr>
          <w:rFonts w:eastAsia="方正仿宋_GBK"/>
          <w:sz w:val="32"/>
          <w:szCs w:val="32"/>
        </w:rPr>
      </w:pPr>
      <w:r>
        <w:rPr>
          <w:rFonts w:eastAsia="方正仿宋_GBK"/>
          <w:b/>
          <w:bCs/>
          <w:sz w:val="32"/>
          <w:szCs w:val="32"/>
        </w:rPr>
        <w:t>3.公务接待费支出0.51万元，完成预算100%。</w:t>
      </w:r>
      <w:r>
        <w:rPr>
          <w:rFonts w:eastAsia="方正仿宋_GBK"/>
          <w:sz w:val="32"/>
          <w:szCs w:val="32"/>
        </w:rPr>
        <w:t>公务接待费支出决算比</w:t>
      </w:r>
      <w:r>
        <w:rPr>
          <w:rFonts w:eastAsia="方正仿宋_GBK"/>
          <w:color w:val="000000" w:themeColor="text1"/>
          <w:sz w:val="32"/>
          <w:szCs w:val="32"/>
          <w14:textFill>
            <w14:solidFill>
              <w14:schemeClr w14:val="tx1"/>
            </w14:solidFill>
          </w14:textFill>
        </w:rPr>
        <w:t>上年度减少1.11万元，下降68.52%。主</w:t>
      </w:r>
      <w:r>
        <w:rPr>
          <w:rFonts w:eastAsia="方正仿宋_GBK"/>
          <w:sz w:val="32"/>
          <w:szCs w:val="32"/>
        </w:rPr>
        <w:t>要原因是落实财政过紧日子政策，压减三公经费支出，接待人数及次数较上年度减少。其中：</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sz w:val="32"/>
          <w:szCs w:val="32"/>
        </w:rPr>
        <w:t>国内公务接待支出0.51万元，主要用于上级部门来攀调研指导等开支的用餐费。国内公务接待接待5批次，接待人数16人次。</w:t>
      </w:r>
      <w:r>
        <w:rPr>
          <w:rFonts w:eastAsia="方正仿宋_GBK"/>
          <w:color w:val="000000" w:themeColor="text1"/>
          <w:sz w:val="32"/>
          <w:szCs w:val="32"/>
          <w14:textFill>
            <w14:solidFill>
              <w14:schemeClr w14:val="tx1"/>
            </w14:solidFill>
          </w14:textFill>
        </w:rPr>
        <w:t>具体内容包括：上级部门来攀调研指导工作、统计数据质量核查、考察先进接待支出0.51万元。</w:t>
      </w:r>
    </w:p>
    <w:p>
      <w:pPr>
        <w:spacing w:line="600" w:lineRule="exact"/>
        <w:ind w:firstLine="640"/>
        <w:rPr>
          <w:rFonts w:eastAsia="方正仿宋_GBK"/>
          <w:sz w:val="32"/>
          <w:szCs w:val="32"/>
        </w:rPr>
      </w:pPr>
      <w:r>
        <w:rPr>
          <w:rFonts w:eastAsia="方正仿宋_GBK"/>
          <w:sz w:val="32"/>
          <w:szCs w:val="32"/>
        </w:rPr>
        <w:t>外事接待支出0万元，外事接待0批次，0人次，共计支出0万元。</w:t>
      </w:r>
    </w:p>
    <w:p>
      <w:pPr>
        <w:spacing w:line="600" w:lineRule="exact"/>
        <w:ind w:firstLine="640"/>
        <w:outlineLvl w:val="1"/>
        <w:rPr>
          <w:rStyle w:val="31"/>
          <w:rFonts w:ascii="Times New Roman" w:hAnsi="Times New Roman" w:eastAsia="方正黑体_GBK" w:cs="Times New Roman"/>
        </w:rPr>
      </w:pPr>
      <w:bookmarkStart w:id="40" w:name="_Toc15377218"/>
      <w:bookmarkStart w:id="41" w:name="_Toc15396610"/>
      <w:r>
        <w:rPr>
          <w:rFonts w:eastAsia="方正黑体_GBK"/>
          <w:sz w:val="32"/>
          <w:szCs w:val="32"/>
        </w:rPr>
        <w:t>八、</w:t>
      </w:r>
      <w:r>
        <w:rPr>
          <w:rStyle w:val="31"/>
          <w:rFonts w:ascii="Times New Roman" w:hAnsi="Times New Roman" w:eastAsia="方正黑体_GBK" w:cs="Times New Roman"/>
          <w:b w:val="0"/>
        </w:rPr>
        <w:t>政府性基金预算支出决算情况说明</w:t>
      </w:r>
      <w:bookmarkEnd w:id="40"/>
      <w:bookmarkEnd w:id="41"/>
    </w:p>
    <w:p>
      <w:pPr>
        <w:spacing w:line="600" w:lineRule="exact"/>
        <w:ind w:firstLine="640"/>
        <w:rPr>
          <w:rFonts w:eastAsia="方正仿宋_GBK"/>
          <w:b/>
          <w:bCs/>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年度政府性基金预算财政拨款支出0万元。</w:t>
      </w:r>
    </w:p>
    <w:p>
      <w:pPr>
        <w:spacing w:line="600" w:lineRule="exact"/>
        <w:ind w:firstLine="640" w:firstLineChars="200"/>
        <w:outlineLvl w:val="1"/>
        <w:rPr>
          <w:rStyle w:val="31"/>
          <w:rFonts w:ascii="Times New Roman" w:hAnsi="Times New Roman" w:eastAsia="方正黑体_GBK" w:cs="Times New Roman"/>
          <w:b w:val="0"/>
        </w:rPr>
      </w:pPr>
      <w:bookmarkStart w:id="42" w:name="_Toc15396611"/>
      <w:bookmarkStart w:id="43" w:name="_Toc15377219"/>
      <w:r>
        <w:rPr>
          <w:rStyle w:val="31"/>
          <w:rFonts w:ascii="Times New Roman" w:hAnsi="Times New Roman" w:eastAsia="方正黑体_GBK" w:cs="Times New Roman"/>
          <w:b w:val="0"/>
        </w:rPr>
        <w:t>九、国有资本经营预算支出决算情况说明</w:t>
      </w:r>
      <w:bookmarkEnd w:id="42"/>
      <w:bookmarkEnd w:id="43"/>
    </w:p>
    <w:p>
      <w:pPr>
        <w:spacing w:line="600" w:lineRule="exact"/>
        <w:ind w:firstLine="640"/>
        <w:rPr>
          <w:rFonts w:eastAsia="方正仿宋_GBK"/>
          <w:sz w:val="32"/>
          <w:szCs w:val="32"/>
        </w:rPr>
      </w:pPr>
      <w:r>
        <w:rPr>
          <w:rFonts w:eastAsia="方正仿宋_GBK"/>
          <w:sz w:val="32"/>
          <w:szCs w:val="32"/>
        </w:rPr>
        <w:t>202</w:t>
      </w:r>
      <w:r>
        <w:rPr>
          <w:rFonts w:hint="eastAsia" w:eastAsia="方正仿宋_GBK"/>
          <w:sz w:val="32"/>
          <w:szCs w:val="32"/>
        </w:rPr>
        <w:t>5</w:t>
      </w:r>
      <w:r>
        <w:rPr>
          <w:rFonts w:eastAsia="方正仿宋_GBK"/>
          <w:sz w:val="32"/>
          <w:szCs w:val="32"/>
        </w:rPr>
        <w:t>年度国有资本经营预算财政拨款支出0万元。</w:t>
      </w:r>
    </w:p>
    <w:p>
      <w:pPr>
        <w:spacing w:line="600" w:lineRule="exact"/>
        <w:ind w:firstLine="640" w:firstLineChars="200"/>
        <w:outlineLvl w:val="1"/>
        <w:rPr>
          <w:rStyle w:val="31"/>
          <w:rFonts w:ascii="Times New Roman" w:hAnsi="Times New Roman" w:eastAsia="方正黑体_GBK" w:cs="Times New Roman"/>
          <w:b w:val="0"/>
        </w:rPr>
      </w:pPr>
      <w:bookmarkStart w:id="44" w:name="_Toc15396612"/>
      <w:bookmarkStart w:id="45" w:name="_Toc15377221"/>
      <w:r>
        <w:rPr>
          <w:rStyle w:val="31"/>
          <w:rFonts w:ascii="Times New Roman" w:hAnsi="Times New Roman" w:eastAsia="方正黑体_GBK" w:cs="Times New Roman"/>
          <w:b w:val="0"/>
        </w:rPr>
        <w:t>十、其他重要事项的情况说明</w:t>
      </w:r>
      <w:bookmarkEnd w:id="44"/>
      <w:bookmarkEnd w:id="45"/>
    </w:p>
    <w:p>
      <w:pPr>
        <w:spacing w:line="600" w:lineRule="exact"/>
        <w:ind w:firstLine="642" w:firstLineChars="200"/>
        <w:outlineLvl w:val="2"/>
        <w:rPr>
          <w:rFonts w:eastAsia="方正楷体_GBK"/>
          <w:b/>
          <w:sz w:val="32"/>
          <w:szCs w:val="32"/>
        </w:rPr>
      </w:pPr>
      <w:bookmarkStart w:id="46" w:name="_Toc15377222"/>
      <w:r>
        <w:rPr>
          <w:rFonts w:eastAsia="方正楷体_GBK"/>
          <w:b/>
          <w:sz w:val="32"/>
          <w:szCs w:val="32"/>
        </w:rPr>
        <w:t>（一）机关运行经费支出情况</w:t>
      </w:r>
      <w:bookmarkEnd w:id="46"/>
    </w:p>
    <w:p>
      <w:pPr>
        <w:spacing w:line="600" w:lineRule="exact"/>
        <w:ind w:firstLine="640"/>
        <w:rPr>
          <w:rFonts w:eastAsia="方正仿宋_GBK"/>
          <w:sz w:val="32"/>
          <w:szCs w:val="32"/>
        </w:rPr>
      </w:pPr>
      <w:r>
        <w:rPr>
          <w:rFonts w:eastAsia="方正仿宋_GBK"/>
          <w:sz w:val="32"/>
          <w:szCs w:val="32"/>
        </w:rPr>
        <w:t>2025年度，机关运行经费支出174.34万元，比2024年度增加28.17万元，增长19.27%。主要原因是</w:t>
      </w:r>
      <w:r>
        <w:rPr>
          <w:rFonts w:eastAsia="方正仿宋_GBK"/>
          <w:color w:val="000000"/>
          <w:sz w:val="32"/>
          <w:szCs w:val="32"/>
        </w:rPr>
        <w:t>2025年人员变动导致人员经费增加且购置一辆公务用车价值24.98万元导致公用经费增加</w:t>
      </w:r>
      <w:r>
        <w:rPr>
          <w:rFonts w:eastAsia="方正仿宋_GBK"/>
          <w:sz w:val="32"/>
          <w:szCs w:val="32"/>
        </w:rPr>
        <w:t>。</w:t>
      </w:r>
    </w:p>
    <w:p>
      <w:pPr>
        <w:spacing w:line="600" w:lineRule="exact"/>
        <w:ind w:firstLine="642" w:firstLineChars="200"/>
        <w:outlineLvl w:val="2"/>
        <w:rPr>
          <w:rFonts w:eastAsia="方正楷体_GBK"/>
          <w:b/>
          <w:sz w:val="32"/>
          <w:szCs w:val="32"/>
        </w:rPr>
      </w:pPr>
      <w:bookmarkStart w:id="47" w:name="_Toc15377223"/>
      <w:r>
        <w:rPr>
          <w:rFonts w:eastAsia="方正楷体_GBK"/>
          <w:b/>
          <w:sz w:val="32"/>
          <w:szCs w:val="32"/>
        </w:rPr>
        <w:t>（二）政府采购支出情况</w:t>
      </w:r>
      <w:bookmarkEnd w:id="47"/>
    </w:p>
    <w:p>
      <w:pPr>
        <w:spacing w:line="600" w:lineRule="exact"/>
        <w:ind w:firstLine="640"/>
        <w:rPr>
          <w:rFonts w:eastAsia="方正仿宋_GBK"/>
          <w:sz w:val="32"/>
          <w:szCs w:val="32"/>
        </w:rPr>
      </w:pPr>
      <w:r>
        <w:rPr>
          <w:rFonts w:eastAsia="方正仿宋_GBK"/>
          <w:sz w:val="32"/>
          <w:szCs w:val="32"/>
        </w:rPr>
        <w:t>2025年度，政府采购支出总额25.30万元，其中：政府采购货物支出24.98万元、政府采购工程支出0万元、政府采购服务支出0.32万元。主要用于本单位按规定更新购置1辆公务用车、公务用车保险费用支出。授予中小企业合同金额24.98万元，占政府采购支出总额98.74%，无授予小微企业合同。</w:t>
      </w:r>
    </w:p>
    <w:p>
      <w:pPr>
        <w:spacing w:line="600" w:lineRule="exact"/>
        <w:ind w:firstLine="642" w:firstLineChars="200"/>
        <w:outlineLvl w:val="2"/>
        <w:rPr>
          <w:rFonts w:eastAsia="方正楷体_GBK"/>
          <w:b/>
          <w:sz w:val="32"/>
          <w:szCs w:val="32"/>
        </w:rPr>
      </w:pPr>
      <w:bookmarkStart w:id="48" w:name="_Toc15377224"/>
      <w:r>
        <w:rPr>
          <w:rFonts w:eastAsia="方正楷体_GBK"/>
          <w:b/>
          <w:sz w:val="32"/>
          <w:szCs w:val="32"/>
        </w:rPr>
        <w:t>（三）国有资产占有使用情况</w:t>
      </w:r>
      <w:bookmarkEnd w:id="48"/>
    </w:p>
    <w:p>
      <w:pPr>
        <w:autoSpaceDE w:val="0"/>
        <w:autoSpaceDN w:val="0"/>
        <w:adjustRightInd w:val="0"/>
        <w:spacing w:line="600" w:lineRule="exact"/>
        <w:ind w:firstLine="640" w:firstLineChars="200"/>
        <w:jc w:val="left"/>
        <w:rPr>
          <w:rFonts w:eastAsia="方正仿宋_GBK"/>
          <w:sz w:val="32"/>
          <w:szCs w:val="32"/>
        </w:rPr>
      </w:pPr>
      <w:r>
        <w:rPr>
          <w:rFonts w:eastAsia="方正仿宋_GBK"/>
          <w:sz w:val="32"/>
          <w:szCs w:val="32"/>
        </w:rPr>
        <w:t>截至2025年12月31日，共有车辆2辆，其中：主要负责人用车0辆、机要通信用车0辆、应急保障用车2辆、其他用车0辆。单价100万元（含）以上设（不含车辆）备0台（套）。</w:t>
      </w:r>
    </w:p>
    <w:p>
      <w:pPr>
        <w:spacing w:line="600" w:lineRule="exact"/>
        <w:ind w:firstLine="642" w:firstLineChars="200"/>
        <w:outlineLvl w:val="2"/>
        <w:rPr>
          <w:rFonts w:eastAsia="方正楷体_GBK"/>
          <w:b/>
          <w:sz w:val="32"/>
          <w:szCs w:val="32"/>
        </w:rPr>
      </w:pPr>
      <w:r>
        <w:rPr>
          <w:rFonts w:eastAsia="方正楷体_GBK"/>
          <w:b/>
          <w:sz w:val="32"/>
          <w:szCs w:val="32"/>
        </w:rPr>
        <w:t>（四）预算绩效管理情况</w:t>
      </w:r>
    </w:p>
    <w:p>
      <w:pPr>
        <w:spacing w:line="600" w:lineRule="exact"/>
        <w:ind w:firstLine="64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根据预算绩效管理要求，本</w:t>
      </w:r>
      <w:r>
        <w:rPr>
          <w:rFonts w:hint="eastAsia" w:eastAsia="方正仿宋_GBK"/>
          <w:color w:val="000000" w:themeColor="text1"/>
          <w:sz w:val="32"/>
          <w:szCs w:val="32"/>
          <w:lang w:eastAsia="zh-CN"/>
          <w14:textFill>
            <w14:solidFill>
              <w14:schemeClr w14:val="tx1"/>
            </w14:solidFill>
          </w14:textFill>
        </w:rPr>
        <w:t>部门</w:t>
      </w:r>
      <w:r>
        <w:rPr>
          <w:rFonts w:eastAsia="方正仿宋_GBK"/>
          <w:color w:val="000000" w:themeColor="text1"/>
          <w:sz w:val="32"/>
          <w:szCs w:val="32"/>
          <w14:textFill>
            <w14:solidFill>
              <w14:schemeClr w14:val="tx1"/>
            </w14:solidFill>
          </w14:textFill>
        </w:rPr>
        <w:t>在2025年度，组织对信息系统维护费、统计基层基础规范化建设、向上争取资金工作经费、第五次全国经济普查经费等8个项目涉及金额104.80万元开展了事前绩效评估，对8个项目编制了绩效目标，预算执行过程中，选取8个项目开展绩效监控。</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组织对2025年度一般公共预算等全面开展绩效自评，形成部门预算（含部门预算项目）绩效自评报告及信息系统维护费、统计基层基础规范化建设、向上争取资金工作经费、第五次全国经济普查经费等专项预算项目绩效自评报告。其中，部门预算（含部门预算项目）绩效自评得分为96.56分，绩效自评综述</w:t>
      </w:r>
      <w:r>
        <w:rPr>
          <w:rFonts w:eastAsia="方正仿宋_GBK"/>
          <w:color w:val="000000" w:themeColor="text1"/>
          <w:sz w:val="32"/>
          <w:szCs w:val="32"/>
          <w:lang w:val="en"/>
          <w14:textFill>
            <w14:solidFill>
              <w14:schemeClr w14:val="tx1"/>
            </w14:solidFill>
          </w14:textFill>
        </w:rPr>
        <w:t>攀枝花市统计局</w:t>
      </w:r>
      <w:r>
        <w:rPr>
          <w:rFonts w:eastAsia="方正仿宋_GBK"/>
          <w:color w:val="000000" w:themeColor="text1"/>
          <w:sz w:val="32"/>
          <w:szCs w:val="32"/>
          <w:lang w:val="zh-CN"/>
          <w14:textFill>
            <w14:solidFill>
              <w14:schemeClr w14:val="tx1"/>
            </w14:solidFill>
          </w14:textFill>
        </w:rPr>
        <w:t>严格按照市财政局印发的《部门预算绩效评价指标体系》要求，根据指标解释、评分方法、评分说明，结合本单位实际情况，逐项开展自评，认真测算指标分值，自评得分真实准确、有据可查。</w:t>
      </w:r>
      <w:r>
        <w:rPr>
          <w:rFonts w:eastAsia="方正仿宋_GBK"/>
          <w:color w:val="000000" w:themeColor="text1"/>
          <w:sz w:val="32"/>
          <w:szCs w:val="32"/>
          <w:lang w:val="en"/>
          <w14:textFill>
            <w14:solidFill>
              <w14:schemeClr w14:val="tx1"/>
            </w14:solidFill>
          </w14:textFill>
        </w:rPr>
        <w:t>在履职效能、预算管理、财务管理、资产管理、采购管理以及项目绩效等方面均取得了较好的成绩，</w:t>
      </w:r>
      <w:r>
        <w:rPr>
          <w:rFonts w:eastAsia="方正仿宋_GBK"/>
          <w:color w:val="000000" w:themeColor="text1"/>
          <w:sz w:val="32"/>
          <w:szCs w:val="32"/>
          <w14:textFill>
            <w14:solidFill>
              <w14:schemeClr w14:val="tx1"/>
            </w14:solidFill>
          </w14:textFill>
        </w:rPr>
        <w:t>为高质量发展建设共同富裕试验区贡献了统计力量。信息系统维护费、统计基层基础规范化建设、向上争取资金工作经费、第五次全国经济普查经费等</w:t>
      </w:r>
      <w:r>
        <w:rPr>
          <w:rFonts w:eastAsia="方正仿宋_GBK"/>
          <w:color w:val="000000"/>
          <w:sz w:val="32"/>
          <w:szCs w:val="32"/>
        </w:rPr>
        <w:t>8个专项预算项目中除</w:t>
      </w:r>
      <w:r>
        <w:rPr>
          <w:rFonts w:eastAsia="方正仿宋_GBK"/>
          <w:color w:val="000000"/>
          <w:sz w:val="32"/>
          <w:szCs w:val="32"/>
          <w:lang w:val="en"/>
        </w:rPr>
        <w:t>统计基层基础规范化建设、统计调查工作</w:t>
      </w:r>
      <w:r>
        <w:rPr>
          <w:rFonts w:eastAsia="方正仿宋_GBK"/>
          <w:color w:val="000000"/>
          <w:sz w:val="32"/>
          <w:szCs w:val="32"/>
        </w:rPr>
        <w:t>2个项目由于资金紧张，项目执行进度分别为85.46%、81.32%，自评得分分别为99分、98分；其余项目自评得分均为100分。</w:t>
      </w:r>
      <w:r>
        <w:rPr>
          <w:rFonts w:eastAsia="方正仿宋_GBK"/>
          <w:color w:val="000000" w:themeColor="text1"/>
          <w:sz w:val="32"/>
          <w:szCs w:val="32"/>
          <w14:textFill>
            <w14:solidFill>
              <w14:schemeClr w14:val="tx1"/>
            </w14:solidFill>
          </w14:textFill>
        </w:rPr>
        <w:t>绩效自评报告详见附件。</w:t>
      </w:r>
    </w:p>
    <w:p>
      <w:pPr>
        <w:pStyle w:val="15"/>
        <w:spacing w:line="600" w:lineRule="exact"/>
        <w:rPr>
          <w:rFonts w:eastAsia="方正仿宋_GBK"/>
          <w:sz w:val="32"/>
          <w:szCs w:val="32"/>
        </w:rPr>
      </w:pPr>
    </w:p>
    <w:p>
      <w:pPr>
        <w:pStyle w:val="15"/>
      </w:pPr>
    </w:p>
    <w:p>
      <w:pPr>
        <w:widowControl/>
        <w:spacing w:line="600" w:lineRule="exact"/>
        <w:jc w:val="left"/>
        <w:rPr>
          <w:rFonts w:eastAsia="仿宋_GB2312"/>
          <w:sz w:val="32"/>
          <w:szCs w:val="32"/>
        </w:rPr>
      </w:pPr>
      <w:bookmarkStart w:id="49" w:name="_Toc15396613"/>
      <w:bookmarkStart w:id="50" w:name="_Toc15377225"/>
      <w:r>
        <w:rPr>
          <w:rFonts w:eastAsia="仿宋_GB2312"/>
          <w:sz w:val="32"/>
          <w:szCs w:val="32"/>
        </w:rPr>
        <w:br w:type="page"/>
      </w:r>
    </w:p>
    <w:p>
      <w:pPr>
        <w:spacing w:line="600" w:lineRule="exact"/>
        <w:jc w:val="center"/>
        <w:outlineLvl w:val="0"/>
        <w:rPr>
          <w:rFonts w:eastAsia="方正小标宋简体"/>
          <w:sz w:val="44"/>
          <w:szCs w:val="44"/>
        </w:rPr>
      </w:pPr>
      <w:r>
        <w:rPr>
          <w:rFonts w:eastAsia="方正小标宋简体"/>
          <w:sz w:val="44"/>
          <w:szCs w:val="44"/>
        </w:rPr>
        <w:t>第三部分  名词解释</w:t>
      </w:r>
      <w:bookmarkEnd w:id="49"/>
      <w:bookmarkEnd w:id="50"/>
    </w:p>
    <w:p>
      <w:pPr>
        <w:spacing w:line="600" w:lineRule="exact"/>
        <w:jc w:val="left"/>
        <w:rPr>
          <w:b/>
          <w:sz w:val="44"/>
          <w:szCs w:val="44"/>
        </w:rPr>
      </w:pPr>
    </w:p>
    <w:p>
      <w:pPr>
        <w:pStyle w:val="28"/>
        <w:spacing w:line="600" w:lineRule="exact"/>
        <w:ind w:firstLine="640" w:firstLineChars="200"/>
        <w:rPr>
          <w:rFonts w:ascii="Times New Roman" w:hAnsi="Times New Roman" w:eastAsia="方正仿宋_GBK" w:cs="Times New Roman"/>
          <w:color w:val="auto"/>
          <w:sz w:val="32"/>
          <w:szCs w:val="32"/>
        </w:rPr>
      </w:pPr>
      <w:bookmarkStart w:id="51" w:name="_Toc15396614"/>
      <w:bookmarkStart w:id="52" w:name="_Toc15377226"/>
      <w:r>
        <w:rPr>
          <w:rFonts w:ascii="Times New Roman" w:hAnsi="Times New Roman" w:eastAsia="方正仿宋_GBK" w:cs="Times New Roman"/>
          <w:color w:val="auto"/>
          <w:sz w:val="32"/>
          <w:szCs w:val="32"/>
        </w:rPr>
        <w:t>1.财政拨款收入：指单位从同级财政部门取得的财政预算资金。</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2.其他收入：指单位取得的除上述收入以外的各项收入。主要是</w:t>
      </w:r>
      <w:r>
        <w:rPr>
          <w:rFonts w:ascii="Times New Roman" w:hAnsi="Times New Roman" w:eastAsia="方正仿宋_GBK" w:cs="Times New Roman"/>
          <w:sz w:val="32"/>
          <w:szCs w:val="32"/>
        </w:rPr>
        <w:t>省统计局下拨的第五次全国经济普查试点工作经</w:t>
      </w:r>
      <w:r>
        <w:rPr>
          <w:rFonts w:ascii="Times New Roman" w:hAnsi="Times New Roman" w:eastAsia="方正仿宋_GBK" w:cs="Times New Roman"/>
          <w:color w:val="auto"/>
          <w:sz w:val="32"/>
          <w:szCs w:val="32"/>
        </w:rPr>
        <w:t xml:space="preserve">等。 </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 xml:space="preserve">3.年初结转和结余：指以前年度尚未完成、结转到本年按有关规定继续使用的资金。 </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4.年末结转和结余：指单位按有关规定结转到下年或以后年度继续使用的资金。</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5.一般公共服务(类)统计信息事务(款)行政运行(项):指反映行政单位(包括实行公务员管理的事业单位)的基本支出。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6</w:t>
      </w:r>
      <w:r>
        <w:rPr>
          <w:rFonts w:ascii="Times New Roman" w:hAnsi="Times New Roman" w:eastAsia="方正仿宋_GBK" w:cs="Times New Roman"/>
          <w:color w:val="auto"/>
          <w:sz w:val="32"/>
          <w:szCs w:val="32"/>
        </w:rPr>
        <w:t>.一般公共服务(类)统计信息事务(款)一般行政管理事务(项):指反映行政单位(包括实行公务员管理的事业单位)未单独设置项级科目的其他项目支出。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7.</w:t>
      </w:r>
      <w:r>
        <w:rPr>
          <w:rFonts w:ascii="Times New Roman" w:hAnsi="Times New Roman" w:eastAsia="方正仿宋_GBK" w:cs="Times New Roman"/>
          <w:color w:val="auto"/>
          <w:sz w:val="32"/>
          <w:szCs w:val="32"/>
        </w:rPr>
        <w:t>一般公共服务(类)统计信息事务(款)专项普查活动(项):指开展人口普查、经济普查、农业普查、投入产出调查等周期性普查工作的支出。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8.一般公共服务(类)统计信息事务(款)事业运行(项):指事业单位的基本支出，不包括行政单位（包括实行公务员管理的事业单位）后勤服务中心、医务室等附属事业单位。</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9.一般公共服务(类)一般行政管理事务(款)其他组织事务支出(项):指其他用于中国共产党组织部门的事务支出。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10.一般公共服务(类)市场监督管理事务(款)食品安全监管(项):指食品安全监管等专项工作支出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11.社会保障和就业(类)行政事业单位离退休(款)未归口管理的行政单位离退休(项):指反映未实行归口管理的行政单位(包含参公单位)开支的离退休支出。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2.社会保障和就业(类)行政事业单位离退休(款)机关事业单位基本养老保险缴费支出(项):指机关事业单位实施养老保险制度由单位缴纳的基本养老保险费支出。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13.</w:t>
      </w:r>
      <w:r>
        <w:rPr>
          <w:rFonts w:ascii="Times New Roman" w:hAnsi="Times New Roman" w:eastAsia="方正仿宋_GBK" w:cs="Times New Roman"/>
          <w:color w:val="auto"/>
          <w:sz w:val="32"/>
          <w:szCs w:val="32"/>
        </w:rPr>
        <w:t>社会保障和就业(类)抚恤(款)死亡抚恤(项):指按规定用于病故人员家属的一次性和定期抚恤金以及丧葬补助费。</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4</w:t>
      </w:r>
      <w:r>
        <w:rPr>
          <w:rFonts w:ascii="Times New Roman" w:hAnsi="Times New Roman" w:eastAsia="方正仿宋_GBK" w:cs="Times New Roman"/>
          <w:color w:val="auto"/>
          <w:sz w:val="32"/>
          <w:szCs w:val="32"/>
          <w:lang w:val="en"/>
        </w:rPr>
        <w:t>.</w:t>
      </w:r>
      <w:r>
        <w:rPr>
          <w:rFonts w:ascii="Times New Roman" w:hAnsi="Times New Roman" w:eastAsia="方正仿宋_GBK" w:cs="Times New Roman"/>
          <w:color w:val="auto"/>
          <w:sz w:val="32"/>
          <w:szCs w:val="32"/>
        </w:rPr>
        <w:t>社会保障和就业（类）社会福利（款）儿童福利（项）：反映对儿童提供福利服务方面的支出。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5.卫生健康(类)其他卫生健康支出(款)其他卫生健康支出(项):指其他用于卫生健康方面的支出。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lang w:val="en"/>
        </w:rPr>
        <w:t>1</w:t>
      </w:r>
      <w:r>
        <w:rPr>
          <w:rFonts w:ascii="Times New Roman" w:hAnsi="Times New Roman" w:eastAsia="方正仿宋_GBK" w:cs="Times New Roman"/>
          <w:color w:val="auto"/>
          <w:sz w:val="32"/>
          <w:szCs w:val="32"/>
        </w:rPr>
        <w:t>6.住房保障支出(类)住房改革支出(款)住房公积金(项):指行政事业单位按人力资源和社会保障部、财政部规定的基本工资和津贴补贴以及规定比例为职工缴纳的住房公积金。</w:t>
      </w:r>
    </w:p>
    <w:p>
      <w:pPr>
        <w:spacing w:line="600" w:lineRule="exact"/>
        <w:ind w:firstLine="640" w:firstLineChars="200"/>
        <w:rPr>
          <w:rFonts w:eastAsia="方正仿宋_GBK"/>
          <w:sz w:val="32"/>
          <w:szCs w:val="32"/>
        </w:rPr>
      </w:pPr>
      <w:r>
        <w:rPr>
          <w:rFonts w:eastAsia="方正仿宋_GBK"/>
          <w:sz w:val="32"/>
          <w:szCs w:val="32"/>
        </w:rPr>
        <w:t>17.基本支出：指为保障机构正常运转、完成日常工作任务而发生的人员支出和公用支出。</w:t>
      </w:r>
    </w:p>
    <w:p>
      <w:pPr>
        <w:spacing w:line="600" w:lineRule="exact"/>
        <w:ind w:firstLine="640" w:firstLineChars="200"/>
        <w:rPr>
          <w:rFonts w:eastAsia="方正仿宋_GBK"/>
          <w:sz w:val="32"/>
          <w:szCs w:val="32"/>
        </w:rPr>
      </w:pPr>
      <w:r>
        <w:rPr>
          <w:rFonts w:eastAsia="方正仿宋_GBK"/>
          <w:sz w:val="32"/>
          <w:szCs w:val="32"/>
        </w:rPr>
        <w:t xml:space="preserve">18.项目支出：指在基本支出之外为完成特定行政任务和事业发展目标所发生的支出。 </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60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widowControl/>
        <w:spacing w:line="600" w:lineRule="exact"/>
        <w:jc w:val="left"/>
        <w:rPr>
          <w:rFonts w:eastAsia="方正仿宋_GBK"/>
          <w:kern w:val="0"/>
          <w:sz w:val="32"/>
          <w:szCs w:val="32"/>
        </w:rPr>
      </w:pPr>
      <w:r>
        <w:rPr>
          <w:rFonts w:eastAsia="方正仿宋_GBK"/>
          <w:sz w:val="32"/>
          <w:szCs w:val="32"/>
        </w:rPr>
        <w:br w:type="page"/>
      </w:r>
    </w:p>
    <w:p>
      <w:pPr>
        <w:spacing w:line="600" w:lineRule="exact"/>
        <w:jc w:val="center"/>
        <w:rPr>
          <w:rStyle w:val="30"/>
          <w:rFonts w:eastAsia="方正小标宋简体"/>
          <w:b w:val="0"/>
        </w:rPr>
      </w:pPr>
      <w:r>
        <w:rPr>
          <w:rFonts w:eastAsia="方正小标宋简体"/>
          <w:sz w:val="44"/>
          <w:szCs w:val="44"/>
        </w:rPr>
        <w:t>第四部分  附件</w:t>
      </w:r>
      <w:bookmarkEnd w:id="51"/>
    </w:p>
    <w:p>
      <w:pPr>
        <w:spacing w:line="572" w:lineRule="exact"/>
        <w:jc w:val="left"/>
        <w:outlineLvl w:val="0"/>
        <w:rPr>
          <w:rFonts w:eastAsia="黑体"/>
          <w:sz w:val="44"/>
          <w:szCs w:val="44"/>
        </w:rPr>
      </w:pP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部门预算绩效评价报告</w:t>
      </w:r>
    </w:p>
    <w:p>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pPr>
        <w:pStyle w:val="15"/>
        <w:spacing w:line="600" w:lineRule="exact"/>
        <w:rPr>
          <w:sz w:val="32"/>
          <w:szCs w:val="32"/>
        </w:rPr>
      </w:pPr>
    </w:p>
    <w:p>
      <w:pPr>
        <w:widowControl/>
        <w:adjustRightInd w:val="0"/>
        <w:snapToGrid w:val="0"/>
        <w:spacing w:line="600" w:lineRule="exact"/>
        <w:ind w:firstLine="640" w:firstLineChars="200"/>
        <w:rPr>
          <w:rFonts w:eastAsia="方正黑体_GBK"/>
          <w:sz w:val="32"/>
          <w:szCs w:val="32"/>
        </w:rPr>
      </w:pPr>
      <w:bookmarkStart w:id="53" w:name="_Hlk110546638"/>
      <w:r>
        <w:rPr>
          <w:rFonts w:eastAsia="方正黑体_GBK"/>
          <w:color w:val="000000"/>
          <w:kern w:val="0"/>
          <w:sz w:val="32"/>
          <w:szCs w:val="32"/>
          <w:shd w:val="clear" w:color="auto" w:fill="FFFFFF"/>
          <w:lang w:val="zh-CN"/>
        </w:rPr>
        <w:t>一、部门基本情况</w:t>
      </w:r>
    </w:p>
    <w:p>
      <w:pPr>
        <w:adjustRightInd w:val="0"/>
        <w:snapToGrid w:val="0"/>
        <w:spacing w:line="600" w:lineRule="exact"/>
        <w:ind w:firstLine="642" w:firstLineChars="200"/>
        <w:rPr>
          <w:rFonts w:eastAsia="方正仿宋_GBK"/>
          <w:color w:val="000000" w:themeColor="text1"/>
          <w:sz w:val="32"/>
          <w:szCs w:val="32"/>
          <w14:textFill>
            <w14:solidFill>
              <w14:schemeClr w14:val="tx1"/>
            </w14:solidFill>
          </w14:textFill>
        </w:rPr>
      </w:pPr>
      <w:r>
        <w:rPr>
          <w:rFonts w:eastAsia="方正楷体_GBK"/>
          <w:b/>
          <w:bCs/>
          <w:color w:val="000000"/>
          <w:kern w:val="0"/>
          <w:sz w:val="32"/>
          <w:szCs w:val="32"/>
          <w:shd w:val="clear" w:color="auto" w:fill="FFFFFF"/>
          <w:lang w:val="zh-CN"/>
        </w:rPr>
        <w:t>（一）机构组成。</w:t>
      </w:r>
      <w:r>
        <w:rPr>
          <w:rFonts w:eastAsia="方正仿宋_GBK"/>
          <w:color w:val="000000" w:themeColor="text1"/>
          <w:sz w:val="32"/>
          <w:szCs w:val="32"/>
          <w14:textFill>
            <w14:solidFill>
              <w14:schemeClr w14:val="tx1"/>
            </w14:solidFill>
          </w14:textFill>
        </w:rPr>
        <w:t>根据攀机改〔2019〕2号、攀编发〔2019〕55号、攀编发〔2020〕42号、攀编办〔2022〕34号文件，批准攀枝花市统计局内设机构共设7个，分别为办公室、攀枝花市统计局执法监督局、国民经济核算科、综合统计管理科、工业和能源环境统计科、农村经济和固定资产投资统计科、服务业和人口社会科技统计科。下属2个参公管理事业单位，分别为攀枝花市普查中心、攀枝花市城市社会经济调查队（攀枝花市社情民意调查中心）；1个全额拨款事业单位为攀枝花市统计局大数据中心。其下属单位财务、人事未独立核算。</w:t>
      </w:r>
    </w:p>
    <w:p>
      <w:pPr>
        <w:adjustRightInd w:val="0"/>
        <w:snapToGrid w:val="0"/>
        <w:spacing w:line="600" w:lineRule="exact"/>
        <w:ind w:firstLine="642" w:firstLineChars="200"/>
        <w:rPr>
          <w:rFonts w:eastAsia="方正仿宋_GBK"/>
          <w:color w:val="000000" w:themeColor="text1"/>
          <w:sz w:val="32"/>
          <w:szCs w:val="32"/>
          <w14:textFill>
            <w14:solidFill>
              <w14:schemeClr w14:val="tx1"/>
            </w14:solidFill>
          </w14:textFill>
        </w:rPr>
      </w:pPr>
      <w:r>
        <w:rPr>
          <w:rFonts w:eastAsia="方正楷体_GBK"/>
          <w:b/>
          <w:bCs/>
          <w:color w:val="000000"/>
          <w:kern w:val="0"/>
          <w:sz w:val="32"/>
          <w:szCs w:val="32"/>
          <w:shd w:val="clear" w:color="auto" w:fill="FFFFFF"/>
          <w:lang w:val="zh-CN"/>
        </w:rPr>
        <w:t>（二）机构职能。</w:t>
      </w:r>
      <w:r>
        <w:rPr>
          <w:rFonts w:eastAsia="方正仿宋_GBK"/>
          <w:color w:val="000000" w:themeColor="text1"/>
          <w:sz w:val="32"/>
          <w:szCs w:val="32"/>
          <w14:textFill>
            <w14:solidFill>
              <w14:schemeClr w14:val="tx1"/>
            </w14:solidFill>
          </w14:textFill>
        </w:rPr>
        <w:t>根据攀枝花市人民政府批复的《攀枝花市统计局主要职责内设机构和人员编制规定的通知》（攀办发〔2011〕41号)，攀枝花市统计局主要职责是：</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1.贯彻执行国家、四川省统计工作的方针、政策和法律、法规以及统计制度、统计标准，审批县（区）、市直部门的地方统计调查项目，承担组织领导和协调全市统计工作，确保统计数据真实、准确、及时的责任。</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2.建立健全全市国民经济核算体系，组织实施全市国民经济核算制度，核算全市地区生产总值，整理提供国民经济核算资料，开展分析研究，指导、监督县（区）国民经济核算工作。</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组织实施农林牧渔业、工业、建筑业、批发和零售业、住宿和餐饮业、房地产业等国民经济行业以及能源、投资、人口、科技、社会发展基本情况、环境基本状况等领域的统计调查，建立全市经济社会发展监测评价制度及指标体系，对重点区域和重要领域实施监测评价，牵头综合整理和提供资源、房屋、教育、卫生、邮电、交通运输、社会保障、公用事业、对外贸易、对外经济等全市基本统计资料。</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4.组织实施人口、经济、农业等普查和重大国情国力专项调查，组织实施全市投入产出调查。</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5.建立健全全市统计数据质量审核、监控和评估制度，依法对县（区）、市直管部门重要统计数据进行审核、监控和评估，组织指导统计基层基础建设。</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6.对国民经济、社会发展、科技进步和资源环境等情况进行统计分析和预测，定期发布全市经济社会发展情况的统计信息，向市委、市政府及有关部门提供统计咨询建议，向社会公众提供统计信息服务。</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7.协助管理县（区）统计局正副局长，会同有关部门组织管理全市统计专业资格考试、职务评聘工作，开展统计交流和合作，监督管理县（区）统计局由中央财政、省级财政和市级财政提供的统计事业专项经费。</w:t>
      </w:r>
    </w:p>
    <w:p>
      <w:pPr>
        <w:adjustRightInd w:val="0"/>
        <w:snapToGrid w:val="0"/>
        <w:spacing w:line="600" w:lineRule="exact"/>
        <w:ind w:firstLine="640" w:firstLineChars="200"/>
        <w:rPr>
          <w:rFonts w:eastAsia="方正仿宋_GBK"/>
          <w:sz w:val="32"/>
          <w:szCs w:val="32"/>
        </w:rPr>
      </w:pPr>
      <w:r>
        <w:rPr>
          <w:rFonts w:eastAsia="方正仿宋_GBK"/>
          <w:color w:val="000000" w:themeColor="text1"/>
          <w:sz w:val="32"/>
          <w:szCs w:val="32"/>
          <w14:textFill>
            <w14:solidFill>
              <w14:schemeClr w14:val="tx1"/>
            </w14:solidFill>
          </w14:textFill>
        </w:rPr>
        <w:t>8.组织制订县（区）、市直部门统计数据库和网络的基本标</w:t>
      </w:r>
      <w:r>
        <w:rPr>
          <w:rFonts w:eastAsia="方正仿宋_GBK"/>
          <w:sz w:val="32"/>
          <w:szCs w:val="32"/>
        </w:rPr>
        <w:t>准和运行规则，建立健全全市统计数据库系统、视频会议系统、统计信息自动化系统，建立健全市级部门统计信息共享制度，指导县（区）统计信息化、视频会议系统建设。</w:t>
      </w:r>
    </w:p>
    <w:p>
      <w:pPr>
        <w:adjustRightInd w:val="0"/>
        <w:snapToGrid w:val="0"/>
        <w:spacing w:line="600" w:lineRule="exact"/>
        <w:ind w:firstLine="640" w:firstLineChars="200"/>
        <w:rPr>
          <w:rFonts w:eastAsia="方正仿宋_GBK"/>
          <w:sz w:val="32"/>
          <w:szCs w:val="32"/>
          <w:lang w:val="zh-CN"/>
        </w:rPr>
      </w:pPr>
      <w:r>
        <w:rPr>
          <w:rFonts w:eastAsia="方正仿宋_GBK"/>
          <w:sz w:val="32"/>
          <w:szCs w:val="32"/>
        </w:rPr>
        <w:t>9.承办市委、市政府交办的其他事项</w:t>
      </w:r>
    </w:p>
    <w:p>
      <w:pPr>
        <w:adjustRightInd w:val="0"/>
        <w:snapToGrid w:val="0"/>
        <w:spacing w:line="600" w:lineRule="exact"/>
        <w:ind w:firstLine="642" w:firstLineChars="200"/>
        <w:rPr>
          <w:rFonts w:eastAsia="方正仿宋_GBK"/>
          <w:sz w:val="32"/>
          <w:szCs w:val="32"/>
        </w:rPr>
      </w:pPr>
      <w:r>
        <w:rPr>
          <w:rFonts w:eastAsia="方正楷体_GBK"/>
          <w:b/>
          <w:bCs/>
          <w:color w:val="000000"/>
          <w:kern w:val="0"/>
          <w:sz w:val="32"/>
          <w:szCs w:val="32"/>
          <w:shd w:val="clear" w:color="auto" w:fill="FFFFFF"/>
          <w:lang w:val="zh-CN"/>
        </w:rPr>
        <w:t>（三）人员概况。</w:t>
      </w:r>
      <w:r>
        <w:rPr>
          <w:rFonts w:eastAsia="方正仿宋_GBK"/>
          <w:sz w:val="32"/>
          <w:szCs w:val="32"/>
        </w:rPr>
        <w:t>截至2025年末，市统计局在职人员总数52人，其中：市统计局机关行政人员17人，机关工勤人员2人，编制内聘用人员2人；市统计局下属参公管理事业单位2个，市城调队14人，市普查中心10人，全额拨款事业单位市统计局大数据中心事业人员7人；退休人员28人。</w:t>
      </w:r>
    </w:p>
    <w:p>
      <w:pPr>
        <w:adjustRightInd w:val="0"/>
        <w:snapToGrid w:val="0"/>
        <w:spacing w:line="600" w:lineRule="exact"/>
        <w:ind w:firstLine="640" w:firstLineChars="200"/>
        <w:rPr>
          <w:rFonts w:eastAsia="方正黑体_GBK"/>
          <w:color w:val="000000"/>
          <w:kern w:val="0"/>
          <w:sz w:val="32"/>
          <w:szCs w:val="32"/>
          <w:shd w:val="clear" w:color="auto" w:fill="FFFFFF"/>
        </w:rPr>
      </w:pPr>
      <w:r>
        <w:rPr>
          <w:rFonts w:eastAsia="方正黑体_GBK"/>
          <w:color w:val="000000"/>
          <w:kern w:val="0"/>
          <w:sz w:val="32"/>
          <w:szCs w:val="32"/>
          <w:shd w:val="clear" w:color="auto" w:fill="FFFFFF"/>
        </w:rPr>
        <w:t>二、部门资金收支情况</w:t>
      </w:r>
    </w:p>
    <w:p>
      <w:pPr>
        <w:adjustRightInd w:val="0"/>
        <w:snapToGrid w:val="0"/>
        <w:spacing w:line="600" w:lineRule="exact"/>
        <w:ind w:firstLine="642" w:firstLineChars="200"/>
        <w:rPr>
          <w:rFonts w:eastAsia="方正仿宋_GBK"/>
          <w:b/>
          <w:bCs/>
          <w:color w:val="000000"/>
          <w:kern w:val="0"/>
          <w:sz w:val="32"/>
          <w:szCs w:val="32"/>
          <w:shd w:val="clear" w:color="auto" w:fill="FFFFFF"/>
        </w:rPr>
      </w:pPr>
      <w:r>
        <w:rPr>
          <w:rFonts w:eastAsia="方正楷体_GBK"/>
          <w:b/>
          <w:bCs/>
          <w:color w:val="000000"/>
          <w:kern w:val="0"/>
          <w:sz w:val="32"/>
          <w:szCs w:val="32"/>
          <w:shd w:val="clear" w:color="auto" w:fill="FFFFFF"/>
          <w:lang w:val="zh-CN"/>
        </w:rPr>
        <w:t>（一）收入情况。</w:t>
      </w:r>
      <w:r>
        <w:rPr>
          <w:rFonts w:eastAsia="方正仿宋_GBK"/>
          <w:color w:val="000000" w:themeColor="text1"/>
          <w:sz w:val="32"/>
          <w:szCs w:val="32"/>
          <w14:textFill>
            <w14:solidFill>
              <w14:schemeClr w14:val="tx1"/>
            </w14:solidFill>
          </w14:textFill>
        </w:rPr>
        <w:t>市统计局</w:t>
      </w:r>
      <w:r>
        <w:rPr>
          <w:rFonts w:eastAsia="方正仿宋_GBK"/>
          <w:sz w:val="32"/>
          <w:szCs w:val="32"/>
        </w:rPr>
        <w:t>2025年年初预算收入1380.25万元；决算报表全年收入1485.49万元，其中，年初结转结余19万元、一般公共预算财政拨款收入1466.04万元、其他收入0.45万元。</w:t>
      </w:r>
    </w:p>
    <w:p>
      <w:pPr>
        <w:widowControl/>
        <w:adjustRightInd w:val="0"/>
        <w:snapToGrid w:val="0"/>
        <w:spacing w:line="600" w:lineRule="exact"/>
        <w:ind w:firstLine="642" w:firstLineChars="200"/>
        <w:rPr>
          <w:rFonts w:eastAsia="方正仿宋_GBK"/>
          <w:sz w:val="32"/>
          <w:szCs w:val="32"/>
        </w:rPr>
      </w:pPr>
      <w:r>
        <w:rPr>
          <w:rFonts w:eastAsia="方正楷体_GBK"/>
          <w:b/>
          <w:bCs/>
          <w:color w:val="000000"/>
          <w:kern w:val="0"/>
          <w:sz w:val="32"/>
          <w:szCs w:val="32"/>
          <w:shd w:val="clear" w:color="auto" w:fill="FFFFFF"/>
          <w:lang w:val="zh-CN"/>
        </w:rPr>
        <w:t>（二）支出情况。</w:t>
      </w:r>
      <w:r>
        <w:rPr>
          <w:rFonts w:eastAsia="方正仿宋_GBK"/>
          <w:color w:val="000000" w:themeColor="text1"/>
          <w:sz w:val="32"/>
          <w:szCs w:val="32"/>
          <w14:textFill>
            <w14:solidFill>
              <w14:schemeClr w14:val="tx1"/>
            </w14:solidFill>
          </w14:textFill>
        </w:rPr>
        <w:t>市统计局</w:t>
      </w:r>
      <w:r>
        <w:rPr>
          <w:rFonts w:eastAsia="方正仿宋_GBK"/>
          <w:sz w:val="32"/>
          <w:szCs w:val="32"/>
        </w:rPr>
        <w:t>2025年全年支出1485.19万元，较上年减少58万元，主要原因是2025年项目收入支出较2024年减少，人员经费增加85.27万元、日常公用经费增加28.17万元、项目经费减少152.54万元。</w:t>
      </w:r>
    </w:p>
    <w:p>
      <w:pPr>
        <w:widowControl/>
        <w:adjustRightInd w:val="0"/>
        <w:snapToGrid w:val="0"/>
        <w:spacing w:line="600" w:lineRule="exact"/>
        <w:ind w:firstLine="642" w:firstLineChars="200"/>
        <w:rPr>
          <w:rFonts w:eastAsia="方正仿宋_GBK"/>
          <w:b/>
          <w:sz w:val="32"/>
          <w:szCs w:val="32"/>
        </w:rPr>
      </w:pPr>
      <w:r>
        <w:rPr>
          <w:rFonts w:eastAsia="方正楷体_GBK"/>
          <w:b/>
          <w:bCs/>
          <w:color w:val="000000"/>
          <w:kern w:val="0"/>
          <w:sz w:val="32"/>
          <w:szCs w:val="32"/>
          <w:shd w:val="clear" w:color="auto" w:fill="FFFFFF"/>
          <w:lang w:val="zh-CN"/>
        </w:rPr>
        <w:t>（三）</w:t>
      </w:r>
      <w:r>
        <w:rPr>
          <w:rFonts w:eastAsia="方正楷体_GBK"/>
          <w:b/>
          <w:sz w:val="32"/>
          <w:szCs w:val="32"/>
        </w:rPr>
        <w:t>结余分配和结转结余情况。</w:t>
      </w:r>
      <w:r>
        <w:rPr>
          <w:rFonts w:eastAsia="方正仿宋_GBK"/>
          <w:color w:val="000000" w:themeColor="text1"/>
          <w:sz w:val="32"/>
          <w:szCs w:val="32"/>
          <w14:textFill>
            <w14:solidFill>
              <w14:schemeClr w14:val="tx1"/>
            </w14:solidFill>
          </w14:textFill>
        </w:rPr>
        <w:t>市统计局</w:t>
      </w:r>
      <w:r>
        <w:rPr>
          <w:rFonts w:eastAsia="方正仿宋_GBK"/>
          <w:color w:val="000000"/>
          <w:kern w:val="0"/>
          <w:sz w:val="32"/>
          <w:szCs w:val="32"/>
          <w:shd w:val="clear" w:color="auto" w:fill="FFFFFF"/>
        </w:rPr>
        <w:t>2025年年初财政预算收入数1380.25万元，年初非财政结转结余19.00万元，调增财政预算收入86.24万元，全年支出决算数1485.49万元，结余0.11万元。</w:t>
      </w:r>
    </w:p>
    <w:p>
      <w:pPr>
        <w:widowControl/>
        <w:adjustRightInd w:val="0"/>
        <w:snapToGrid w:val="0"/>
        <w:spacing w:line="600" w:lineRule="exact"/>
        <w:ind w:firstLine="640" w:firstLineChars="200"/>
        <w:rPr>
          <w:rFonts w:eastAsia="方正黑体_GBK"/>
          <w:color w:val="000000"/>
          <w:kern w:val="0"/>
          <w:sz w:val="32"/>
          <w:szCs w:val="32"/>
          <w:shd w:val="clear" w:color="auto" w:fill="FFFFFF"/>
        </w:rPr>
      </w:pPr>
      <w:r>
        <w:rPr>
          <w:rFonts w:eastAsia="方正黑体_GBK"/>
          <w:color w:val="000000"/>
          <w:kern w:val="0"/>
          <w:sz w:val="32"/>
          <w:szCs w:val="32"/>
          <w:shd w:val="clear" w:color="auto" w:fill="FFFFFF"/>
        </w:rPr>
        <w:t>三、部门预算绩效分析</w:t>
      </w:r>
    </w:p>
    <w:p>
      <w:pPr>
        <w:adjustRightInd w:val="0"/>
        <w:snapToGrid w:val="0"/>
        <w:spacing w:line="600" w:lineRule="exact"/>
        <w:ind w:firstLine="642" w:firstLineChars="200"/>
        <w:rPr>
          <w:rFonts w:eastAsia="方正楷体_GBK"/>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（一）部门预算总体绩效分析</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kern w:val="0"/>
          <w:sz w:val="32"/>
          <w:szCs w:val="32"/>
          <w:shd w:val="clear" w:color="auto" w:fill="FFFFFF"/>
        </w:rPr>
        <w:t>1.</w:t>
      </w:r>
      <w:r>
        <w:rPr>
          <w:rFonts w:eastAsia="方正仿宋_GBK"/>
          <w:color w:val="000000"/>
          <w:kern w:val="0"/>
          <w:sz w:val="32"/>
          <w:szCs w:val="32"/>
          <w:shd w:val="clear" w:color="auto" w:fill="FFFFFF"/>
          <w:lang w:val="zh-CN"/>
        </w:rPr>
        <w:t>履职效能。</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15分，得15分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sz w:val="32"/>
          <w:szCs w:val="32"/>
        </w:rPr>
      </w:pPr>
      <w:r>
        <w:rPr>
          <w:rFonts w:eastAsia="方正仿宋_GBK"/>
          <w:color w:val="000000"/>
          <w:sz w:val="32"/>
          <w:szCs w:val="32"/>
        </w:rPr>
        <w:t>2025年在市委、市政府领导下，市统计局以习近平新时代中国特色社会主义思想为指导，紧扣市委工作体系，强化政治建设，通过强化理论武装、抓实主题学习教育、严明纪律规矩、夯实组织基础筑牢党建根基；聚焦主责主业，在服务宏观决策、强化统计监测、拓展民意调查方面提升服务质效；狠抓重点工作，扎实推进2025年全国1%人口抽样调查等任务，精准履职、实干担当，为全市高质量发展、共同富裕试验区建设及“9圈21链”等重点任务推进提供了坚实统计保障。</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预算管理。</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23分，得</w:t>
      </w:r>
      <w:r>
        <w:rPr>
          <w:rFonts w:eastAsia="方正仿宋_GBK"/>
          <w:color w:val="000000" w:themeColor="text1"/>
          <w:sz w:val="32"/>
          <w:szCs w:val="32"/>
          <w:lang w:val="en"/>
          <w14:textFill>
            <w14:solidFill>
              <w14:schemeClr w14:val="tx1"/>
            </w14:solidFill>
          </w14:textFill>
        </w:rPr>
        <w:t>2</w:t>
      </w:r>
      <w:r>
        <w:rPr>
          <w:rFonts w:eastAsia="方正仿宋_GBK"/>
          <w:color w:val="000000" w:themeColor="text1"/>
          <w:sz w:val="32"/>
          <w:szCs w:val="32"/>
          <w14:textFill>
            <w14:solidFill>
              <w14:schemeClr w14:val="tx1"/>
            </w14:solidFill>
          </w14:textFill>
        </w:rPr>
        <w:t>0</w:t>
      </w:r>
      <w:r>
        <w:rPr>
          <w:rFonts w:eastAsia="方正仿宋_GBK"/>
          <w:color w:val="000000" w:themeColor="text1"/>
          <w:sz w:val="32"/>
          <w:szCs w:val="32"/>
          <w:lang w:val="en"/>
          <w14:textFill>
            <w14:solidFill>
              <w14:schemeClr w14:val="tx1"/>
            </w14:solidFill>
          </w14:textFill>
        </w:rPr>
        <w:t>.83</w:t>
      </w:r>
      <w:r>
        <w:rPr>
          <w:rFonts w:eastAsia="方正仿宋_GBK"/>
          <w:color w:val="000000" w:themeColor="text1"/>
          <w:sz w:val="32"/>
          <w:szCs w:val="32"/>
          <w14:textFill>
            <w14:solidFill>
              <w14:schemeClr w14:val="tx1"/>
            </w14:solidFill>
          </w14:textFill>
        </w:rPr>
        <w:t>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）预算编制质量（</w:t>
      </w:r>
      <w:r>
        <w:rPr>
          <w:rFonts w:eastAsia="方正仿宋_GBK"/>
          <w:color w:val="000000" w:themeColor="text1"/>
          <w:sz w:val="32"/>
          <w:szCs w:val="32"/>
          <w14:textFill>
            <w14:solidFill>
              <w14:schemeClr w14:val="tx1"/>
            </w14:solidFill>
          </w14:textFill>
        </w:rPr>
        <w:t>8分，得8分</w:t>
      </w:r>
      <w:r>
        <w:rPr>
          <w:rFonts w:eastAsia="方正仿宋_GBK"/>
          <w:color w:val="000000" w:themeColor="text1"/>
          <w:sz w:val="32"/>
          <w:szCs w:val="32"/>
          <w:lang w:val="zh-CN"/>
          <w14:textFill>
            <w14:solidFill>
              <w14:schemeClr w14:val="tx1"/>
            </w14:solidFill>
          </w14:textFill>
        </w:rPr>
        <w:t>）。我局编制全年经费预算时，紧紧围绕全市统计事业高质量发展，牢固树立服务意识，充分发挥统计职能，科学制定目标任务。结合历年预算编制情况、上年预算执行情况及当年重点工作，严格按照财政部门的规定，对各项收支进行了详细测算，合理合规编制</w:t>
      </w:r>
      <w:r>
        <w:rPr>
          <w:rFonts w:eastAsia="方正仿宋_GBK"/>
          <w:color w:val="000000" w:themeColor="text1"/>
          <w:sz w:val="32"/>
          <w:szCs w:val="32"/>
          <w14:textFill>
            <w14:solidFill>
              <w14:schemeClr w14:val="tx1"/>
            </w14:solidFill>
          </w14:textFill>
        </w:rPr>
        <w:t>2025年年度</w:t>
      </w:r>
      <w:r>
        <w:rPr>
          <w:rFonts w:eastAsia="方正仿宋_GBK"/>
          <w:color w:val="000000" w:themeColor="text1"/>
          <w:sz w:val="32"/>
          <w:szCs w:val="32"/>
          <w:lang w:val="zh-CN"/>
          <w14:textFill>
            <w14:solidFill>
              <w14:schemeClr w14:val="tx1"/>
            </w14:solidFill>
          </w14:textFill>
        </w:rPr>
        <w:t>预算。预算编制细化到具体项目和经济科目，贴合实际需求。自评得分为</w:t>
      </w:r>
      <w:r>
        <w:rPr>
          <w:rFonts w:eastAsia="方正仿宋_GBK"/>
          <w:color w:val="000000" w:themeColor="text1"/>
          <w:sz w:val="32"/>
          <w:szCs w:val="32"/>
          <w14:textFill>
            <w14:solidFill>
              <w14:schemeClr w14:val="tx1"/>
            </w14:solidFill>
          </w14:textFill>
        </w:rPr>
        <w:t>8分。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支出执行进度（6分，得5.92分）。2025年，我局经费预算数为1500.33万元，1—6月预算执行数为805.64万元，执行率53.69%；1—</w:t>
      </w:r>
      <w:r>
        <w:rPr>
          <w:rFonts w:eastAsia="方正仿宋_GBK"/>
          <w:sz w:val="32"/>
          <w:szCs w:val="32"/>
        </w:rPr>
        <w:t>10月</w:t>
      </w:r>
      <w:r>
        <w:rPr>
          <w:rFonts w:eastAsia="方正仿宋_GBK"/>
          <w:color w:val="000000" w:themeColor="text1"/>
          <w:sz w:val="32"/>
          <w:szCs w:val="32"/>
          <w14:textFill>
            <w14:solidFill>
              <w14:schemeClr w14:val="tx1"/>
            </w14:solidFill>
          </w14:textFill>
        </w:rPr>
        <w:t>预算执行数为1195.61万元，执行率79.69%。我局全年无支出预警金额和支出违规金额。根据部门预算绩效评价指标体系的评分方法，自评得分为5.92分。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w:t>
      </w:r>
      <w:r>
        <w:rPr>
          <w:rFonts w:eastAsia="方正仿宋_GBK"/>
          <w:color w:val="000000" w:themeColor="text1"/>
          <w:sz w:val="32"/>
          <w:szCs w:val="32"/>
          <w:lang w:val="zh-CN"/>
          <w14:textFill>
            <w14:solidFill>
              <w14:schemeClr w14:val="tx1"/>
            </w14:solidFill>
          </w14:textFill>
        </w:rPr>
        <w:t>预算年终结余（</w:t>
      </w:r>
      <w:r>
        <w:rPr>
          <w:rFonts w:eastAsia="方正仿宋_GBK"/>
          <w:color w:val="000000" w:themeColor="text1"/>
          <w:sz w:val="32"/>
          <w:szCs w:val="32"/>
          <w14:textFill>
            <w14:solidFill>
              <w14:schemeClr w14:val="tx1"/>
            </w14:solidFill>
          </w14:textFill>
        </w:rPr>
        <w:t>4分，得3.91分</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2025年，我局预算总金额为1500.33万元，年终预算注销金额为34.29万元，结转金额为0.11万元，根据部门预算绩效评价指标体系的评分方法，自评得分为3.91分。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4）严控一般性支出（5分，得3分）。2025年，我局“三公”经费、会议、培训等一般性支出财政拨款年初预算数为34.96万元，较上年的24.19万元增长了44.52%，主要是由于2025年购置公务用车导致“三公”经费增加，自评基础分值得0分，加分值得0分，共得0分。一般性支出财政拨款预算执行数为45.88万元，较上年的89.56万元压减了98.20%，自评基础分值得1分，加分值得2分，共得3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kern w:val="0"/>
          <w:sz w:val="32"/>
          <w:szCs w:val="32"/>
          <w:shd w:val="clear" w:color="auto" w:fill="FFFFFF"/>
        </w:rPr>
        <w:t>3.</w:t>
      </w:r>
      <w:r>
        <w:rPr>
          <w:rFonts w:eastAsia="方正仿宋_GBK"/>
          <w:color w:val="000000"/>
          <w:kern w:val="0"/>
          <w:sz w:val="32"/>
          <w:szCs w:val="32"/>
          <w:shd w:val="clear" w:color="auto" w:fill="FFFFFF"/>
          <w:lang w:val="zh-CN"/>
        </w:rPr>
        <w:t>财务管理。</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12分，得12分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）财务管理制度（</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）：建立了完善的内控管理制度和财务管理制度，制度内容符合国家财经法规和财务会计制度的规定，涵盖预算管理、收支管理、资产管理、合同管理等方面，具有较强的可操作性，自评得分为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）财务岗位设置（</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）：合理设置财务岗位，明确岗位职责，会计、出纳等岗位相互分离、相互制约，财务人员均具备相应的专业资质和工作经验，保障了财务工作的规范开展，自评得分为</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3</w:t>
      </w:r>
      <w:r>
        <w:rPr>
          <w:rFonts w:eastAsia="方正仿宋_GBK"/>
          <w:color w:val="000000" w:themeColor="text1"/>
          <w:sz w:val="32"/>
          <w:szCs w:val="32"/>
          <w:lang w:val="zh-CN"/>
          <w14:textFill>
            <w14:solidFill>
              <w14:schemeClr w14:val="tx1"/>
            </w14:solidFill>
          </w14:textFill>
        </w:rPr>
        <w:t>）资金使用规范（</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）：资金使用严格按照预算、内控制度、财务管理制度执行，审批流程完备、附件齐全、支出合规，无违规使用资金的情况，自评得分为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4.</w:t>
      </w:r>
      <w:r>
        <w:rPr>
          <w:rFonts w:eastAsia="方正仿宋_GBK"/>
          <w:color w:val="000000"/>
          <w:kern w:val="0"/>
          <w:sz w:val="32"/>
          <w:szCs w:val="32"/>
          <w:shd w:val="clear" w:color="auto" w:fill="FFFFFF"/>
          <w:lang w:val="zh-CN"/>
        </w:rPr>
        <w:t>资产管理。（</w:t>
      </w:r>
      <w:r>
        <w:rPr>
          <w:rFonts w:eastAsia="方正仿宋_GBK"/>
          <w:color w:val="000000"/>
          <w:kern w:val="0"/>
          <w:sz w:val="32"/>
          <w:szCs w:val="32"/>
          <w:shd w:val="clear" w:color="auto" w:fill="FFFFFF"/>
        </w:rPr>
        <w:t>9</w:t>
      </w:r>
      <w:r>
        <w:rPr>
          <w:rFonts w:eastAsia="方正仿宋_GBK"/>
          <w:color w:val="000000"/>
          <w:kern w:val="0"/>
          <w:sz w:val="32"/>
          <w:szCs w:val="32"/>
          <w:shd w:val="clear" w:color="auto" w:fill="FFFFFF"/>
          <w:lang w:val="zh-CN"/>
        </w:rPr>
        <w:t>分，得</w:t>
      </w:r>
      <w:r>
        <w:rPr>
          <w:rFonts w:eastAsia="方正仿宋_GBK"/>
          <w:color w:val="000000"/>
          <w:kern w:val="0"/>
          <w:sz w:val="32"/>
          <w:szCs w:val="32"/>
          <w:shd w:val="clear" w:color="auto" w:fill="FFFFFF"/>
        </w:rPr>
        <w:t>8.4</w:t>
      </w:r>
      <w:r>
        <w:rPr>
          <w:rFonts w:eastAsia="方正仿宋_GBK"/>
          <w:color w:val="000000"/>
          <w:kern w:val="0"/>
          <w:sz w:val="32"/>
          <w:szCs w:val="32"/>
          <w:shd w:val="clear" w:color="auto" w:fill="FFFFFF"/>
          <w:lang w:val="zh-CN"/>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lang w:val="zh-CN"/>
        </w:rPr>
        <w:t>（1）人均资产变化率（3分，得</w:t>
      </w:r>
      <w:r>
        <w:rPr>
          <w:rFonts w:eastAsia="方正仿宋_GBK"/>
          <w:color w:val="000000"/>
          <w:kern w:val="0"/>
          <w:sz w:val="32"/>
          <w:szCs w:val="32"/>
          <w:shd w:val="clear" w:color="auto" w:fill="FFFFFF"/>
        </w:rPr>
        <w:t>3</w:t>
      </w:r>
      <w:r>
        <w:rPr>
          <w:rFonts w:eastAsia="方正仿宋_GBK"/>
          <w:color w:val="000000"/>
          <w:kern w:val="0"/>
          <w:sz w:val="32"/>
          <w:szCs w:val="32"/>
          <w:shd w:val="clear" w:color="auto" w:fill="FFFFFF"/>
          <w:lang w:val="zh-CN"/>
        </w:rPr>
        <w:t>分）。202</w:t>
      </w: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年，我局人均资产变化率为</w:t>
      </w:r>
      <w:r>
        <w:rPr>
          <w:rFonts w:eastAsia="方正仿宋_GBK"/>
          <w:color w:val="000000"/>
          <w:kern w:val="0"/>
          <w:sz w:val="32"/>
          <w:szCs w:val="32"/>
          <w:shd w:val="clear" w:color="auto" w:fill="FFFFFF"/>
          <w:lang w:val="en"/>
        </w:rPr>
        <w:t>-24</w:t>
      </w:r>
      <w:r>
        <w:rPr>
          <w:rFonts w:eastAsia="方正仿宋_GBK"/>
          <w:color w:val="000000"/>
          <w:kern w:val="0"/>
          <w:sz w:val="32"/>
          <w:szCs w:val="32"/>
          <w:shd w:val="clear" w:color="auto" w:fill="FFFFFF"/>
          <w:lang w:val="zh-CN"/>
        </w:rPr>
        <w:t>%小于</w:t>
      </w:r>
      <w:r>
        <w:rPr>
          <w:rFonts w:eastAsia="方正仿宋_GBK"/>
          <w:color w:val="000000"/>
          <w:kern w:val="0"/>
          <w:sz w:val="32"/>
          <w:szCs w:val="32"/>
          <w:shd w:val="clear" w:color="auto" w:fill="FFFFFF"/>
        </w:rPr>
        <w:t>2024年人均资产变化率-20%</w:t>
      </w:r>
      <w:r>
        <w:rPr>
          <w:rFonts w:eastAsia="方正仿宋_GBK"/>
          <w:color w:val="000000"/>
          <w:kern w:val="0"/>
          <w:sz w:val="32"/>
          <w:szCs w:val="32"/>
          <w:shd w:val="clear" w:color="auto" w:fill="FFFFFF"/>
          <w:lang w:val="zh-CN"/>
        </w:rPr>
        <w:t>，自评得分1.5分；我局人均资产增长率为</w:t>
      </w:r>
      <w:r>
        <w:rPr>
          <w:rFonts w:eastAsia="方正仿宋_GBK"/>
          <w:color w:val="000000"/>
          <w:kern w:val="0"/>
          <w:sz w:val="32"/>
          <w:szCs w:val="32"/>
          <w:shd w:val="clear" w:color="auto" w:fill="FFFFFF"/>
        </w:rPr>
        <w:t>-24</w:t>
      </w:r>
      <w:r>
        <w:rPr>
          <w:rFonts w:eastAsia="方正仿宋_GBK"/>
          <w:color w:val="000000"/>
          <w:kern w:val="0"/>
          <w:sz w:val="32"/>
          <w:szCs w:val="32"/>
          <w:shd w:val="clear" w:color="auto" w:fill="FFFFFF"/>
          <w:lang w:val="zh-CN"/>
        </w:rPr>
        <w:t>%，小于</w:t>
      </w:r>
      <w:r>
        <w:rPr>
          <w:rFonts w:eastAsia="方正仿宋_GBK"/>
          <w:color w:val="000000"/>
          <w:kern w:val="0"/>
          <w:sz w:val="32"/>
          <w:szCs w:val="32"/>
          <w:shd w:val="clear" w:color="auto" w:fill="FFFFFF"/>
        </w:rPr>
        <w:t>0</w:t>
      </w:r>
      <w:r>
        <w:rPr>
          <w:rFonts w:eastAsia="方正仿宋_GBK"/>
          <w:color w:val="000000"/>
          <w:kern w:val="0"/>
          <w:sz w:val="32"/>
          <w:szCs w:val="32"/>
          <w:shd w:val="clear" w:color="auto" w:fill="FFFFFF"/>
          <w:lang w:val="zh-CN"/>
        </w:rPr>
        <w:t>，自评得分</w:t>
      </w:r>
      <w:r>
        <w:rPr>
          <w:rFonts w:eastAsia="方正仿宋_GBK"/>
          <w:color w:val="000000"/>
          <w:kern w:val="0"/>
          <w:sz w:val="32"/>
          <w:szCs w:val="32"/>
          <w:shd w:val="clear" w:color="auto" w:fill="FFFFFF"/>
        </w:rPr>
        <w:t>1.5</w:t>
      </w:r>
      <w:r>
        <w:rPr>
          <w:rFonts w:eastAsia="方正仿宋_GBK"/>
          <w:color w:val="000000"/>
          <w:kern w:val="0"/>
          <w:sz w:val="32"/>
          <w:szCs w:val="32"/>
          <w:shd w:val="clear" w:color="auto" w:fill="FFFFFF"/>
          <w:lang w:val="zh-CN"/>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lang w:val="zh-CN"/>
        </w:rPr>
        <w:t>（2）资产利用率（3分，得</w:t>
      </w:r>
      <w:r>
        <w:rPr>
          <w:rFonts w:eastAsia="方正仿宋_GBK"/>
          <w:color w:val="000000"/>
          <w:kern w:val="0"/>
          <w:sz w:val="32"/>
          <w:szCs w:val="32"/>
          <w:shd w:val="clear" w:color="auto" w:fill="FFFFFF"/>
        </w:rPr>
        <w:t>2.4</w:t>
      </w:r>
      <w:r>
        <w:rPr>
          <w:rFonts w:eastAsia="方正仿宋_GBK"/>
          <w:color w:val="000000"/>
          <w:kern w:val="0"/>
          <w:sz w:val="32"/>
          <w:szCs w:val="32"/>
          <w:shd w:val="clear" w:color="auto" w:fill="FFFFFF"/>
          <w:lang w:val="zh-CN"/>
        </w:rPr>
        <w:t>分）。202</w:t>
      </w: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年，我局办公家具超最低使用年限资产利用率为</w:t>
      </w:r>
      <w:r>
        <w:rPr>
          <w:rFonts w:eastAsia="方正仿宋_GBK"/>
          <w:color w:val="000000"/>
          <w:kern w:val="0"/>
          <w:sz w:val="32"/>
          <w:szCs w:val="32"/>
          <w:shd w:val="clear" w:color="auto" w:fill="FFFFFF"/>
        </w:rPr>
        <w:t>10.12</w:t>
      </w:r>
      <w:r>
        <w:rPr>
          <w:rFonts w:eastAsia="方正仿宋_GBK"/>
          <w:color w:val="000000"/>
          <w:kern w:val="0"/>
          <w:sz w:val="32"/>
          <w:szCs w:val="32"/>
          <w:shd w:val="clear" w:color="auto" w:fill="FFFFFF"/>
          <w:lang w:val="zh-CN"/>
        </w:rPr>
        <w:t>%，大于</w:t>
      </w:r>
      <w:r>
        <w:rPr>
          <w:rFonts w:eastAsia="方正仿宋_GBK"/>
          <w:color w:val="000000"/>
          <w:kern w:val="0"/>
          <w:sz w:val="32"/>
          <w:szCs w:val="32"/>
          <w:shd w:val="clear" w:color="auto" w:fill="FFFFFF"/>
        </w:rPr>
        <w:t>2024年</w:t>
      </w:r>
      <w:r>
        <w:rPr>
          <w:rFonts w:eastAsia="方正仿宋_GBK"/>
          <w:color w:val="000000"/>
          <w:kern w:val="0"/>
          <w:sz w:val="32"/>
          <w:szCs w:val="32"/>
          <w:shd w:val="clear" w:color="auto" w:fill="FFFFFF"/>
          <w:lang w:val="zh-CN"/>
        </w:rPr>
        <w:t>办公家具超最低使用年限资产利用率</w:t>
      </w:r>
      <w:r>
        <w:rPr>
          <w:rFonts w:eastAsia="方正仿宋_GBK"/>
          <w:color w:val="000000"/>
          <w:kern w:val="0"/>
          <w:sz w:val="32"/>
          <w:szCs w:val="32"/>
          <w:shd w:val="clear" w:color="auto" w:fill="FFFFFF"/>
        </w:rPr>
        <w:t>9.59</w:t>
      </w:r>
      <w:r>
        <w:rPr>
          <w:rFonts w:eastAsia="方正仿宋_GBK"/>
          <w:color w:val="000000"/>
          <w:kern w:val="0"/>
          <w:sz w:val="32"/>
          <w:szCs w:val="32"/>
          <w:shd w:val="clear" w:color="auto" w:fill="FFFFFF"/>
          <w:lang w:val="zh-CN"/>
        </w:rPr>
        <w:t>%，自评得分为</w:t>
      </w:r>
      <w:r>
        <w:rPr>
          <w:rFonts w:eastAsia="方正仿宋_GBK"/>
          <w:color w:val="000000"/>
          <w:kern w:val="0"/>
          <w:sz w:val="32"/>
          <w:szCs w:val="32"/>
          <w:shd w:val="clear" w:color="auto" w:fill="FFFFFF"/>
        </w:rPr>
        <w:t>1.5</w:t>
      </w:r>
      <w:r>
        <w:rPr>
          <w:rFonts w:eastAsia="方正仿宋_GBK"/>
          <w:color w:val="000000"/>
          <w:kern w:val="0"/>
          <w:sz w:val="32"/>
          <w:szCs w:val="32"/>
          <w:shd w:val="clear" w:color="auto" w:fill="FFFFFF"/>
          <w:lang w:val="zh-CN"/>
        </w:rPr>
        <w:t>分；我局办公设备超最低使用年限资产利用率为</w:t>
      </w:r>
      <w:r>
        <w:rPr>
          <w:rFonts w:eastAsia="方正仿宋_GBK"/>
          <w:color w:val="000000"/>
          <w:kern w:val="0"/>
          <w:sz w:val="32"/>
          <w:szCs w:val="32"/>
          <w:shd w:val="clear" w:color="auto" w:fill="FFFFFF"/>
        </w:rPr>
        <w:t>50.66</w:t>
      </w:r>
      <w:r>
        <w:rPr>
          <w:rFonts w:eastAsia="方正仿宋_GBK"/>
          <w:color w:val="000000"/>
          <w:kern w:val="0"/>
          <w:sz w:val="32"/>
          <w:szCs w:val="32"/>
          <w:shd w:val="clear" w:color="auto" w:fill="FFFFFF"/>
          <w:lang w:val="zh-CN"/>
        </w:rPr>
        <w:t>%，小于</w:t>
      </w:r>
      <w:r>
        <w:rPr>
          <w:rFonts w:eastAsia="方正仿宋_GBK"/>
          <w:color w:val="000000"/>
          <w:kern w:val="0"/>
          <w:sz w:val="32"/>
          <w:szCs w:val="32"/>
          <w:shd w:val="clear" w:color="auto" w:fill="FFFFFF"/>
        </w:rPr>
        <w:t>2024年</w:t>
      </w:r>
      <w:r>
        <w:rPr>
          <w:rFonts w:eastAsia="方正仿宋_GBK"/>
          <w:color w:val="000000"/>
          <w:kern w:val="0"/>
          <w:sz w:val="32"/>
          <w:szCs w:val="32"/>
          <w:shd w:val="clear" w:color="auto" w:fill="FFFFFF"/>
          <w:lang w:val="zh-CN"/>
        </w:rPr>
        <w:t>办公设备超最低使用年限资产利用率</w:t>
      </w:r>
      <w:r>
        <w:rPr>
          <w:rFonts w:eastAsia="方正仿宋_GBK"/>
          <w:color w:val="000000"/>
          <w:kern w:val="0"/>
          <w:sz w:val="32"/>
          <w:szCs w:val="32"/>
          <w:shd w:val="clear" w:color="auto" w:fill="FFFFFF"/>
        </w:rPr>
        <w:t>51.72</w:t>
      </w:r>
      <w:r>
        <w:rPr>
          <w:rFonts w:eastAsia="方正仿宋_GBK"/>
          <w:color w:val="000000"/>
          <w:kern w:val="0"/>
          <w:sz w:val="32"/>
          <w:szCs w:val="32"/>
          <w:shd w:val="clear" w:color="auto" w:fill="FFFFFF"/>
          <w:lang w:val="zh-CN"/>
        </w:rPr>
        <w:t>%，大于</w:t>
      </w:r>
      <w:r>
        <w:rPr>
          <w:rFonts w:eastAsia="方正仿宋_GBK"/>
          <w:color w:val="000000"/>
          <w:kern w:val="0"/>
          <w:sz w:val="32"/>
          <w:szCs w:val="32"/>
          <w:shd w:val="clear" w:color="auto" w:fill="FFFFFF"/>
        </w:rPr>
        <w:t>0.8倍2024年</w:t>
      </w:r>
      <w:r>
        <w:rPr>
          <w:rFonts w:eastAsia="方正仿宋_GBK"/>
          <w:color w:val="000000"/>
          <w:kern w:val="0"/>
          <w:sz w:val="32"/>
          <w:szCs w:val="32"/>
          <w:shd w:val="clear" w:color="auto" w:fill="FFFFFF"/>
          <w:lang w:val="zh-CN"/>
        </w:rPr>
        <w:t>办公设备超最低使用年限资产利用率，自评得分为</w:t>
      </w:r>
      <w:r>
        <w:rPr>
          <w:rFonts w:eastAsia="方正仿宋_GBK"/>
          <w:color w:val="000000"/>
          <w:kern w:val="0"/>
          <w:sz w:val="32"/>
          <w:szCs w:val="32"/>
          <w:shd w:val="clear" w:color="auto" w:fill="FFFFFF"/>
        </w:rPr>
        <w:t>0.9</w:t>
      </w:r>
      <w:r>
        <w:rPr>
          <w:rFonts w:eastAsia="方正仿宋_GBK"/>
          <w:color w:val="000000"/>
          <w:kern w:val="0"/>
          <w:sz w:val="32"/>
          <w:szCs w:val="32"/>
          <w:shd w:val="clear" w:color="auto" w:fill="FFFFFF"/>
          <w:lang w:val="zh-CN"/>
        </w:rPr>
        <w:t>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lang w:val="zh-CN"/>
        </w:rPr>
        <w:t>（3）资产盘活率（3分，得3分）。</w:t>
      </w:r>
      <w:r>
        <w:rPr>
          <w:rFonts w:eastAsia="方正仿宋_GBK"/>
          <w:color w:val="000000"/>
          <w:kern w:val="0"/>
          <w:sz w:val="32"/>
          <w:szCs w:val="32"/>
          <w:shd w:val="clear" w:color="auto" w:fill="FFFFFF"/>
        </w:rPr>
        <w:t>2025年闲置资产</w:t>
      </w:r>
      <w:r>
        <w:rPr>
          <w:rFonts w:eastAsia="方正仿宋_GBK"/>
          <w:color w:val="000000"/>
          <w:kern w:val="0"/>
          <w:sz w:val="32"/>
          <w:szCs w:val="32"/>
          <w:shd w:val="clear" w:color="auto" w:fill="FFFFFF"/>
          <w:lang w:val="zh-CN"/>
        </w:rPr>
        <w:t>我局2024年无闲置资产，自评得分为3分。</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采购管理（</w:t>
      </w:r>
      <w:r>
        <w:rPr>
          <w:rFonts w:eastAsia="方正仿宋_GBK"/>
          <w:color w:val="000000"/>
          <w:kern w:val="0"/>
          <w:sz w:val="32"/>
          <w:szCs w:val="32"/>
          <w:shd w:val="clear" w:color="auto" w:fill="FFFFFF"/>
        </w:rPr>
        <w:t>6分，得6分</w:t>
      </w:r>
      <w:r>
        <w:rPr>
          <w:rFonts w:eastAsia="方正仿宋_GBK"/>
          <w:color w:val="000000"/>
          <w:kern w:val="0"/>
          <w:sz w:val="32"/>
          <w:szCs w:val="32"/>
          <w:shd w:val="clear" w:color="auto" w:fill="FFFFFF"/>
          <w:lang w:val="zh-CN"/>
        </w:rPr>
        <w:t>）。</w:t>
      </w:r>
    </w:p>
    <w:p>
      <w:pPr>
        <w:adjustRightInd w:val="0"/>
        <w:snapToGrid w:val="0"/>
        <w:spacing w:line="600" w:lineRule="exact"/>
        <w:ind w:firstLine="640" w:firstLineChars="200"/>
        <w:rPr>
          <w:rFonts w:eastAsia="方正仿宋_GBK"/>
          <w:color w:val="000000"/>
          <w:kern w:val="0"/>
          <w:sz w:val="32"/>
          <w:szCs w:val="32"/>
          <w:shd w:val="clear" w:color="auto" w:fill="FFFFFF"/>
        </w:rPr>
      </w:pPr>
      <w:r>
        <w:rPr>
          <w:rFonts w:eastAsia="方正仿宋_GBK"/>
          <w:color w:val="000000"/>
          <w:kern w:val="0"/>
          <w:sz w:val="32"/>
          <w:szCs w:val="32"/>
          <w:shd w:val="clear" w:color="auto" w:fill="FFFFFF"/>
          <w:lang w:val="zh-CN"/>
        </w:rPr>
        <w:t>一是支持中小企业发展</w:t>
      </w:r>
      <w:r>
        <w:rPr>
          <w:rFonts w:eastAsia="方正仿宋_GBK"/>
          <w:color w:val="000000"/>
          <w:kern w:val="0"/>
          <w:sz w:val="32"/>
          <w:szCs w:val="32"/>
          <w:shd w:val="clear" w:color="auto" w:fill="FFFFFF"/>
        </w:rPr>
        <w:t>2025年面向中小企业采购公务用车24.98万元，严格执行政府采购促进中小企业发展相关管理办法，自评得分3分；二是采购执行率2025年采购执行率为100%，自评得分3分。</w:t>
      </w:r>
    </w:p>
    <w:p>
      <w:pPr>
        <w:widowControl/>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（二）部门预算项目绩效分析</w:t>
      </w:r>
    </w:p>
    <w:p>
      <w:pPr>
        <w:widowControl/>
        <w:adjustRightInd w:val="0"/>
        <w:snapToGrid w:val="0"/>
        <w:spacing w:line="600" w:lineRule="exact"/>
        <w:ind w:firstLine="640" w:firstLineChars="200"/>
        <w:rPr>
          <w:rFonts w:eastAsia="方正仿宋_GBK"/>
          <w:color w:val="000000"/>
          <w:kern w:val="0"/>
          <w:sz w:val="32"/>
          <w:szCs w:val="32"/>
          <w:shd w:val="clear" w:color="auto" w:fill="FFFFFF"/>
        </w:rPr>
      </w:pPr>
      <w:r>
        <w:rPr>
          <w:rFonts w:eastAsia="方正仿宋_GBK"/>
          <w:color w:val="000000"/>
          <w:kern w:val="0"/>
          <w:sz w:val="32"/>
          <w:szCs w:val="32"/>
          <w:shd w:val="clear" w:color="auto" w:fill="FFFFFF"/>
          <w:lang w:val="zh-CN"/>
        </w:rPr>
        <w:t>根据部门预算绩效评价指标体系“项目绩效”涉及二、三级指标进行逐项绩效分析并评分，依次包括项目</w:t>
      </w:r>
      <w:r>
        <w:rPr>
          <w:rFonts w:eastAsia="方正仿宋_GBK"/>
          <w:color w:val="000000"/>
          <w:kern w:val="0"/>
          <w:sz w:val="32"/>
          <w:szCs w:val="32"/>
          <w:shd w:val="clear" w:color="auto" w:fill="FFFFFF"/>
        </w:rPr>
        <w:t>决策、项目执行、目标实现等情况。</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常年项目绩效分析。</w:t>
      </w:r>
      <w:r>
        <w:rPr>
          <w:rFonts w:eastAsia="方正仿宋_GBK"/>
          <w:color w:val="000000"/>
          <w:kern w:val="0"/>
          <w:sz w:val="32"/>
          <w:szCs w:val="32"/>
          <w:shd w:val="clear" w:color="auto" w:fill="FFFFFF"/>
          <w:lang w:val="zh-CN"/>
        </w:rPr>
        <w:t>该类项目总数</w:t>
      </w:r>
      <w:r>
        <w:rPr>
          <w:rFonts w:eastAsia="方正仿宋_GBK"/>
          <w:color w:val="000000"/>
          <w:kern w:val="0"/>
          <w:sz w:val="32"/>
          <w:szCs w:val="32"/>
          <w:shd w:val="clear" w:color="auto" w:fill="FFFFFF"/>
        </w:rPr>
        <w:t>5</w:t>
      </w:r>
      <w:r>
        <w:rPr>
          <w:rFonts w:eastAsia="方正仿宋_GBK"/>
          <w:color w:val="000000"/>
          <w:kern w:val="0"/>
          <w:sz w:val="32"/>
          <w:szCs w:val="32"/>
          <w:shd w:val="clear" w:color="auto" w:fill="FFFFFF"/>
          <w:lang w:val="zh-CN"/>
        </w:rPr>
        <w:t>个，涉及预算总金额</w:t>
      </w:r>
      <w:r>
        <w:rPr>
          <w:rFonts w:eastAsia="方正仿宋_GBK"/>
          <w:color w:val="000000"/>
          <w:kern w:val="0"/>
          <w:sz w:val="32"/>
          <w:szCs w:val="32"/>
          <w:shd w:val="clear" w:color="auto" w:fill="FFFFFF"/>
          <w:lang w:val="en"/>
        </w:rPr>
        <w:t>18.88</w:t>
      </w:r>
      <w:r>
        <w:rPr>
          <w:rFonts w:eastAsia="方正仿宋_GBK"/>
          <w:color w:val="000000"/>
          <w:kern w:val="0"/>
          <w:sz w:val="32"/>
          <w:szCs w:val="32"/>
          <w:shd w:val="clear" w:color="auto" w:fill="FFFFFF"/>
          <w:lang w:val="zh-CN"/>
        </w:rPr>
        <w:t>万元，1—1</w:t>
      </w: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月预算执行总体进度为</w:t>
      </w:r>
      <w:r>
        <w:rPr>
          <w:rFonts w:eastAsia="方正仿宋_GBK"/>
          <w:color w:val="000000"/>
          <w:kern w:val="0"/>
          <w:sz w:val="32"/>
          <w:szCs w:val="32"/>
          <w:shd w:val="clear" w:color="auto" w:fill="FFFFFF"/>
          <w:lang w:val="en"/>
        </w:rPr>
        <w:t>100</w:t>
      </w:r>
      <w:r>
        <w:rPr>
          <w:rFonts w:eastAsia="方正仿宋_GBK"/>
          <w:color w:val="000000"/>
          <w:kern w:val="0"/>
          <w:sz w:val="32"/>
          <w:szCs w:val="32"/>
          <w:shd w:val="clear" w:color="auto" w:fill="FFFFFF"/>
          <w:lang w:val="zh-CN"/>
        </w:rPr>
        <w:t>%，其中：预算结余率大于</w:t>
      </w:r>
      <w:r>
        <w:rPr>
          <w:rFonts w:eastAsia="方正仿宋_GBK"/>
          <w:color w:val="000000"/>
          <w:kern w:val="0"/>
          <w:sz w:val="32"/>
          <w:szCs w:val="32"/>
          <w:shd w:val="clear" w:color="auto" w:fill="FFFFFF"/>
        </w:rPr>
        <w:t>10%</w:t>
      </w:r>
      <w:r>
        <w:rPr>
          <w:rFonts w:eastAsia="方正仿宋_GBK"/>
          <w:color w:val="000000"/>
          <w:kern w:val="0"/>
          <w:sz w:val="32"/>
          <w:szCs w:val="32"/>
          <w:shd w:val="clear" w:color="auto" w:fill="FFFFFF"/>
          <w:lang w:val="zh-CN"/>
        </w:rPr>
        <w:t>的项目共计</w:t>
      </w:r>
      <w:r>
        <w:rPr>
          <w:rFonts w:eastAsia="方正仿宋_GBK"/>
          <w:color w:val="000000"/>
          <w:kern w:val="0"/>
          <w:sz w:val="32"/>
          <w:szCs w:val="32"/>
          <w:shd w:val="clear" w:color="auto" w:fill="FFFFFF"/>
          <w:lang w:val="en"/>
        </w:rPr>
        <w:t>0</w:t>
      </w:r>
      <w:r>
        <w:rPr>
          <w:rFonts w:eastAsia="方正仿宋_GBK"/>
          <w:color w:val="000000"/>
          <w:kern w:val="0"/>
          <w:sz w:val="32"/>
          <w:szCs w:val="32"/>
          <w:shd w:val="clear" w:color="auto" w:fill="FFFFFF"/>
          <w:lang w:val="zh-CN"/>
        </w:rPr>
        <w:t>个。</w:t>
      </w:r>
    </w:p>
    <w:p>
      <w:pPr>
        <w:adjustRightInd w:val="0"/>
        <w:snapToGrid w:val="0"/>
        <w:spacing w:line="600" w:lineRule="exact"/>
        <w:ind w:firstLine="640" w:firstLineChars="200"/>
        <w:rPr>
          <w:rFonts w:eastAsia="方正仿宋_GBK"/>
          <w:color w:val="000000"/>
          <w:kern w:val="0"/>
          <w:sz w:val="32"/>
          <w:szCs w:val="32"/>
          <w:shd w:val="clear" w:color="auto" w:fill="FFFFFF"/>
          <w:lang w:val="zh-CN"/>
        </w:rPr>
      </w:pPr>
      <w:r>
        <w:rPr>
          <w:rFonts w:eastAsia="方正仿宋_GBK"/>
          <w:color w:val="000000"/>
          <w:kern w:val="0"/>
          <w:sz w:val="32"/>
          <w:szCs w:val="32"/>
          <w:shd w:val="clear" w:color="auto" w:fill="FFFFFF"/>
        </w:rPr>
        <w:t>阶段（含一次性）项目绩效分析。</w:t>
      </w:r>
      <w:r>
        <w:rPr>
          <w:rFonts w:eastAsia="方正仿宋_GBK"/>
          <w:color w:val="000000"/>
          <w:kern w:val="0"/>
          <w:sz w:val="32"/>
          <w:szCs w:val="32"/>
          <w:shd w:val="clear" w:color="auto" w:fill="FFFFFF"/>
          <w:lang w:val="zh-CN"/>
        </w:rPr>
        <w:t>该类项目总数</w:t>
      </w:r>
      <w:r>
        <w:rPr>
          <w:rFonts w:eastAsia="方正仿宋_GBK"/>
          <w:color w:val="000000"/>
          <w:kern w:val="0"/>
          <w:sz w:val="32"/>
          <w:szCs w:val="32"/>
          <w:shd w:val="clear" w:color="auto" w:fill="FFFFFF"/>
          <w:lang w:val="en"/>
        </w:rPr>
        <w:t>3</w:t>
      </w:r>
      <w:r>
        <w:rPr>
          <w:rFonts w:eastAsia="方正仿宋_GBK"/>
          <w:color w:val="000000"/>
          <w:kern w:val="0"/>
          <w:sz w:val="32"/>
          <w:szCs w:val="32"/>
          <w:shd w:val="clear" w:color="auto" w:fill="FFFFFF"/>
          <w:lang w:val="zh-CN"/>
        </w:rPr>
        <w:t>个，涉及预算总金额</w:t>
      </w:r>
      <w:r>
        <w:rPr>
          <w:rFonts w:eastAsia="方正仿宋_GBK"/>
          <w:color w:val="000000"/>
          <w:kern w:val="0"/>
          <w:sz w:val="32"/>
          <w:szCs w:val="32"/>
          <w:shd w:val="clear" w:color="auto" w:fill="FFFFFF"/>
          <w:lang w:val="en"/>
        </w:rPr>
        <w:t>85.92</w:t>
      </w:r>
      <w:r>
        <w:rPr>
          <w:rFonts w:eastAsia="方正仿宋_GBK"/>
          <w:color w:val="000000"/>
          <w:kern w:val="0"/>
          <w:sz w:val="32"/>
          <w:szCs w:val="32"/>
          <w:shd w:val="clear" w:color="auto" w:fill="FFFFFF"/>
          <w:lang w:val="zh-CN"/>
        </w:rPr>
        <w:t>万元，1—1</w:t>
      </w:r>
      <w:r>
        <w:rPr>
          <w:rFonts w:eastAsia="方正仿宋_GBK"/>
          <w:color w:val="000000"/>
          <w:kern w:val="0"/>
          <w:sz w:val="32"/>
          <w:szCs w:val="32"/>
          <w:shd w:val="clear" w:color="auto" w:fill="FFFFFF"/>
        </w:rPr>
        <w:t>2</w:t>
      </w:r>
      <w:r>
        <w:rPr>
          <w:rFonts w:eastAsia="方正仿宋_GBK"/>
          <w:color w:val="000000"/>
          <w:kern w:val="0"/>
          <w:sz w:val="32"/>
          <w:szCs w:val="32"/>
          <w:shd w:val="clear" w:color="auto" w:fill="FFFFFF"/>
          <w:lang w:val="zh-CN"/>
        </w:rPr>
        <w:t>月预算执行总体进度为</w:t>
      </w:r>
      <w:r>
        <w:rPr>
          <w:rFonts w:eastAsia="方正仿宋_GBK"/>
          <w:color w:val="000000"/>
          <w:kern w:val="0"/>
          <w:sz w:val="32"/>
          <w:szCs w:val="32"/>
          <w:shd w:val="clear" w:color="auto" w:fill="FFFFFF"/>
          <w:lang w:val="en"/>
        </w:rPr>
        <w:t>100</w:t>
      </w:r>
      <w:r>
        <w:rPr>
          <w:rFonts w:eastAsia="方正仿宋_GBK"/>
          <w:color w:val="000000"/>
          <w:kern w:val="0"/>
          <w:sz w:val="32"/>
          <w:szCs w:val="32"/>
          <w:shd w:val="clear" w:color="auto" w:fill="FFFFFF"/>
          <w:lang w:val="zh-CN"/>
        </w:rPr>
        <w:t>%，其中：预算结余率大于</w:t>
      </w:r>
      <w:r>
        <w:rPr>
          <w:rFonts w:eastAsia="方正仿宋_GBK"/>
          <w:color w:val="000000"/>
          <w:kern w:val="0"/>
          <w:sz w:val="32"/>
          <w:szCs w:val="32"/>
          <w:shd w:val="clear" w:color="auto" w:fill="FFFFFF"/>
        </w:rPr>
        <w:t>10%</w:t>
      </w:r>
      <w:r>
        <w:rPr>
          <w:rFonts w:eastAsia="方正仿宋_GBK"/>
          <w:color w:val="000000"/>
          <w:kern w:val="0"/>
          <w:sz w:val="32"/>
          <w:szCs w:val="32"/>
          <w:shd w:val="clear" w:color="auto" w:fill="FFFFFF"/>
          <w:lang w:val="zh-CN"/>
        </w:rPr>
        <w:t>的项目共计</w:t>
      </w:r>
      <w:r>
        <w:rPr>
          <w:rFonts w:eastAsia="方正仿宋_GBK"/>
          <w:color w:val="000000"/>
          <w:kern w:val="0"/>
          <w:sz w:val="32"/>
          <w:szCs w:val="32"/>
          <w:shd w:val="clear" w:color="auto" w:fill="FFFFFF"/>
          <w:lang w:val="en"/>
        </w:rPr>
        <w:t>0</w:t>
      </w:r>
      <w:r>
        <w:rPr>
          <w:rFonts w:eastAsia="方正仿宋_GBK"/>
          <w:color w:val="000000"/>
          <w:kern w:val="0"/>
          <w:sz w:val="32"/>
          <w:szCs w:val="32"/>
          <w:shd w:val="clear" w:color="auto" w:fill="FFFFFF"/>
          <w:lang w:val="zh-CN"/>
        </w:rPr>
        <w:t>个。</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项目决策（</w:t>
      </w:r>
      <w:r>
        <w:rPr>
          <w:rFonts w:eastAsia="方正仿宋_GBK"/>
          <w:color w:val="000000" w:themeColor="text1"/>
          <w:sz w:val="32"/>
          <w:szCs w:val="32"/>
          <w14:textFill>
            <w14:solidFill>
              <w14:schemeClr w14:val="tx1"/>
            </w14:solidFill>
          </w14:textFill>
        </w:rPr>
        <w:t>12分，得12分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）决策程序合规（</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）。所有项目均</w:t>
      </w:r>
      <w:r>
        <w:rPr>
          <w:rFonts w:eastAsia="方正仿宋_GBK"/>
          <w:color w:val="000000" w:themeColor="text1"/>
          <w:sz w:val="32"/>
          <w:szCs w:val="32"/>
          <w14:textFill>
            <w14:solidFill>
              <w14:schemeClr w14:val="tx1"/>
            </w14:solidFill>
          </w14:textFill>
        </w:rPr>
        <w:t>结合我局实际工作情况，</w:t>
      </w:r>
      <w:r>
        <w:rPr>
          <w:rFonts w:eastAsia="方正仿宋_GBK"/>
          <w:color w:val="000000" w:themeColor="text1"/>
          <w:sz w:val="32"/>
          <w:szCs w:val="32"/>
          <w:lang w:val="zh-CN"/>
          <w14:textFill>
            <w14:solidFill>
              <w14:schemeClr w14:val="tx1"/>
            </w14:solidFill>
          </w14:textFill>
        </w:rPr>
        <w:t>进行充分的调研论证，并按照规定的审批流程报领导班子集体决策，决策过程科学、民主、规范。自评得分为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）目标设置合理（</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）。项目绩效目标与我局的职能职责和年度工作计划紧密结合，目标设置明确、科学合理、规范完整、量化细化且与预算匹配，能够清晰反映项目的预期产出和效果，自评得分为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3</w:t>
      </w:r>
      <w:r>
        <w:rPr>
          <w:rFonts w:eastAsia="方正仿宋_GBK"/>
          <w:color w:val="000000" w:themeColor="text1"/>
          <w:sz w:val="32"/>
          <w:szCs w:val="32"/>
          <w:lang w:val="zh-CN"/>
          <w14:textFill>
            <w14:solidFill>
              <w14:schemeClr w14:val="tx1"/>
            </w14:solidFill>
          </w14:textFill>
        </w:rPr>
        <w:t>）项目入库及时（</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）。按照项目库管理的相关要求，对项目在一体化信息系统进行分类入库，入库资料齐全，便于项目的统一管理和调度；</w:t>
      </w:r>
      <w:r>
        <w:rPr>
          <w:rFonts w:eastAsia="方正仿宋_GBK"/>
          <w:color w:val="000000" w:themeColor="text1"/>
          <w:sz w:val="32"/>
          <w:szCs w:val="32"/>
          <w14:textFill>
            <w14:solidFill>
              <w14:schemeClr w14:val="tx1"/>
            </w14:solidFill>
          </w14:textFill>
        </w:rPr>
        <w:t>项目入库在规定时间内完成，</w:t>
      </w:r>
      <w:r>
        <w:rPr>
          <w:rFonts w:eastAsia="方正仿宋_GBK"/>
          <w:color w:val="000000" w:themeColor="text1"/>
          <w:sz w:val="32"/>
          <w:szCs w:val="32"/>
          <w:lang w:val="zh-CN"/>
          <w14:textFill>
            <w14:solidFill>
              <w14:schemeClr w14:val="tx1"/>
            </w14:solidFill>
          </w14:textFill>
        </w:rPr>
        <w:t>自评得分为</w:t>
      </w:r>
      <w:r>
        <w:rPr>
          <w:rFonts w:eastAsia="方正仿宋_GBK"/>
          <w:color w:val="000000" w:themeColor="text1"/>
          <w:sz w:val="32"/>
          <w:szCs w:val="32"/>
          <w14:textFill>
            <w14:solidFill>
              <w14:schemeClr w14:val="tx1"/>
            </w14:solidFill>
          </w14:textFill>
        </w:rPr>
        <w:t>4</w:t>
      </w:r>
      <w:r>
        <w:rPr>
          <w:rFonts w:eastAsia="方正仿宋_GBK"/>
          <w:color w:val="000000" w:themeColor="text1"/>
          <w:sz w:val="32"/>
          <w:szCs w:val="32"/>
          <w:lang w:val="zh-CN"/>
          <w14:textFill>
            <w14:solidFill>
              <w14:schemeClr w14:val="tx1"/>
            </w14:solidFill>
          </w14:textFill>
        </w:rPr>
        <w:t>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2.</w:t>
      </w:r>
      <w:r>
        <w:rPr>
          <w:rFonts w:eastAsia="方正仿宋_GBK"/>
          <w:color w:val="000000" w:themeColor="text1"/>
          <w:sz w:val="32"/>
          <w:szCs w:val="32"/>
          <w:lang w:val="zh-CN"/>
          <w14:textFill>
            <w14:solidFill>
              <w14:schemeClr w14:val="tx1"/>
            </w14:solidFill>
          </w14:textFill>
        </w:rPr>
        <w:t>项目执行（</w:t>
      </w:r>
      <w:r>
        <w:rPr>
          <w:rFonts w:eastAsia="方正仿宋_GBK"/>
          <w:color w:val="000000" w:themeColor="text1"/>
          <w:sz w:val="32"/>
          <w:szCs w:val="32"/>
          <w14:textFill>
            <w14:solidFill>
              <w14:schemeClr w14:val="tx1"/>
            </w14:solidFill>
          </w14:textFill>
        </w:rPr>
        <w:t>12分，得12分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）执行同向（</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）。我局</w:t>
      </w:r>
      <w:r>
        <w:rPr>
          <w:rFonts w:eastAsia="方正仿宋_GBK"/>
          <w:color w:val="000000" w:themeColor="text1"/>
          <w:sz w:val="32"/>
          <w:szCs w:val="32"/>
          <w14:textFill>
            <w14:solidFill>
              <w14:schemeClr w14:val="tx1"/>
            </w14:solidFill>
          </w14:textFill>
        </w:rPr>
        <w:t>部门预算项目实际列支内容与绩效目标设置方向相符，</w:t>
      </w:r>
      <w:r>
        <w:rPr>
          <w:rFonts w:eastAsia="方正仿宋_GBK"/>
          <w:color w:val="000000" w:themeColor="text1"/>
          <w:sz w:val="32"/>
          <w:szCs w:val="32"/>
          <w:lang w:val="zh-CN"/>
          <w14:textFill>
            <w14:solidFill>
              <w14:schemeClr w14:val="tx1"/>
            </w14:solidFill>
          </w14:textFill>
        </w:rPr>
        <w:t>项目资金严格按照预算安排和项目实施进度进行拨付和使用，无截留、挪用、超范围支出等情况，确保了资金使用与项目执行的一致性，</w:t>
      </w:r>
      <w:r>
        <w:rPr>
          <w:rFonts w:eastAsia="方正仿宋_GBK"/>
          <w:color w:val="000000" w:themeColor="text1"/>
          <w:sz w:val="32"/>
          <w:szCs w:val="32"/>
          <w14:textFill>
            <w14:solidFill>
              <w14:schemeClr w14:val="tx1"/>
            </w14:solidFill>
          </w14:textFill>
        </w:rPr>
        <w:t>自评得分为4分。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（2）项目调整（4分，得4分）。优化项目调整应对机制，如遇</w:t>
      </w:r>
      <w:r>
        <w:rPr>
          <w:rFonts w:eastAsia="方正仿宋_GBK"/>
          <w:color w:val="000000" w:themeColor="text1"/>
          <w:sz w:val="32"/>
          <w:szCs w:val="32"/>
          <w:lang w:val="zh-CN"/>
          <w14:textFill>
            <w14:solidFill>
              <w14:schemeClr w14:val="tx1"/>
            </w14:solidFill>
          </w14:textFill>
        </w:rPr>
        <w:t>部分项目因政策变化、实际工作开展与预期不符等情况，及时采取收回预算、调整目标等处置措施对项目进行调整。且项目调整须严格履行审批手续，确保调整过程合法合规、调整后的项目持续符合实际需求，保障项目的顺利推进。</w:t>
      </w:r>
      <w:r>
        <w:rPr>
          <w:rFonts w:eastAsia="方正仿宋_GBK"/>
          <w:color w:val="000000" w:themeColor="text1"/>
          <w:sz w:val="32"/>
          <w:szCs w:val="32"/>
          <w14:textFill>
            <w14:solidFill>
              <w14:schemeClr w14:val="tx1"/>
            </w14:solidFill>
          </w14:textFill>
        </w:rPr>
        <w:t>自评得分为4分。</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（3）执行结果（4分，得3.33分）。我局所有</w:t>
      </w:r>
      <w:r>
        <w:rPr>
          <w:rFonts w:eastAsia="方正仿宋_GBK"/>
          <w:color w:val="000000" w:themeColor="text1"/>
          <w:sz w:val="32"/>
          <w:szCs w:val="32"/>
          <w:lang w:val="zh-CN"/>
          <w14:textFill>
            <w14:solidFill>
              <w14:schemeClr w14:val="tx1"/>
            </w14:solidFill>
          </w14:textFill>
        </w:rPr>
        <w:t>项目按照时间节点和质量要求完成了任务，项目执行进度和质量得到有效控制。</w:t>
      </w:r>
      <w:r>
        <w:rPr>
          <w:rFonts w:eastAsia="方正仿宋_GBK"/>
          <w:color w:val="000000" w:themeColor="text1"/>
          <w:sz w:val="32"/>
          <w:szCs w:val="32"/>
          <w14:textFill>
            <w14:solidFill>
              <w14:schemeClr w14:val="tx1"/>
            </w14:solidFill>
          </w14:textFill>
        </w:rPr>
        <w:t>常年项目5个，预算无结余，得2分；</w:t>
      </w:r>
      <w:r>
        <w:rPr>
          <w:rFonts w:eastAsia="方正仿宋_GBK"/>
          <w:color w:val="000000" w:themeColor="text1"/>
          <w:sz w:val="32"/>
          <w:szCs w:val="32"/>
          <w:lang w:val="en"/>
          <w14:textFill>
            <w14:solidFill>
              <w14:schemeClr w14:val="tx1"/>
            </w14:solidFill>
          </w14:textFill>
        </w:rPr>
        <w:t>统计基层基础规范化建设、统计调查工作</w:t>
      </w:r>
      <w:r>
        <w:rPr>
          <w:rFonts w:eastAsia="方正仿宋_GBK"/>
          <w:color w:val="000000" w:themeColor="text1"/>
          <w:sz w:val="32"/>
          <w:szCs w:val="32"/>
          <w14:textFill>
            <w14:solidFill>
              <w14:schemeClr w14:val="tx1"/>
            </w14:solidFill>
          </w14:textFill>
        </w:rPr>
        <w:t>2个项目由于资金紧张，项目执行进度分别为85.46%、81.32%</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得1.33分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3.</w:t>
      </w:r>
      <w:r>
        <w:rPr>
          <w:rFonts w:eastAsia="方正仿宋_GBK"/>
          <w:color w:val="000000" w:themeColor="text1"/>
          <w:sz w:val="32"/>
          <w:szCs w:val="32"/>
          <w14:textFill>
            <w14:solidFill>
              <w14:schemeClr w14:val="tx1"/>
            </w14:solidFill>
          </w14:textFill>
        </w:rPr>
        <w:t>目标实现</w:t>
      </w: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11分，得11分</w:t>
      </w:r>
      <w:r>
        <w:rPr>
          <w:rFonts w:eastAsia="方正仿宋_GBK"/>
          <w:color w:val="000000" w:themeColor="text1"/>
          <w:sz w:val="32"/>
          <w:szCs w:val="32"/>
          <w:lang w:val="zh-CN"/>
          <w14:textFill>
            <w14:solidFill>
              <w14:schemeClr w14:val="tx1"/>
            </w14:solidFill>
          </w14:textFill>
        </w:rPr>
        <w:t>）</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w:t>
      </w:r>
      <w:r>
        <w:rPr>
          <w:rFonts w:eastAsia="方正仿宋_GBK"/>
          <w:color w:val="000000" w:themeColor="text1"/>
          <w:sz w:val="32"/>
          <w:szCs w:val="32"/>
          <w14:textFill>
            <w14:solidFill>
              <w14:schemeClr w14:val="tx1"/>
            </w14:solidFill>
          </w14:textFill>
        </w:rPr>
        <w:t>1</w:t>
      </w:r>
      <w:r>
        <w:rPr>
          <w:rFonts w:eastAsia="方正仿宋_GBK"/>
          <w:color w:val="000000" w:themeColor="text1"/>
          <w:sz w:val="32"/>
          <w:szCs w:val="32"/>
          <w:lang w:val="zh-CN"/>
          <w14:textFill>
            <w14:solidFill>
              <w14:schemeClr w14:val="tx1"/>
            </w14:solidFill>
          </w14:textFill>
        </w:rPr>
        <w:t>）目标完成</w:t>
      </w:r>
      <w:r>
        <w:rPr>
          <w:rFonts w:eastAsia="方正仿宋_GBK"/>
          <w:color w:val="000000" w:themeColor="text1"/>
          <w:sz w:val="32"/>
          <w:szCs w:val="32"/>
          <w14:textFill>
            <w14:solidFill>
              <w14:schemeClr w14:val="tx1"/>
            </w14:solidFill>
          </w14:textFill>
        </w:rPr>
        <w:t>（4分，得4分）</w:t>
      </w:r>
      <w:r>
        <w:rPr>
          <w:rFonts w:eastAsia="方正仿宋_GBK"/>
          <w:color w:val="000000" w:themeColor="text1"/>
          <w:sz w:val="32"/>
          <w:szCs w:val="32"/>
          <w:lang w:val="zh-CN"/>
          <w14:textFill>
            <w14:solidFill>
              <w14:schemeClr w14:val="tx1"/>
            </w14:solidFill>
          </w14:textFill>
        </w:rPr>
        <w:t>。我局高质量完成</w:t>
      </w:r>
      <w:r>
        <w:rPr>
          <w:rFonts w:eastAsia="方正仿宋_GBK"/>
          <w:color w:val="000000" w:themeColor="text1"/>
          <w:sz w:val="32"/>
          <w:szCs w:val="32"/>
          <w14:textFill>
            <w14:solidFill>
              <w14:schemeClr w14:val="tx1"/>
            </w14:solidFill>
          </w14:textFill>
        </w:rPr>
        <w:t>5个常年项目及3个阶段项目（含一次性项目）绩效目标，且数量指标均已完成。自评得分为4分。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（2）目标偏离（4分，得4分）。</w:t>
      </w:r>
      <w:r>
        <w:rPr>
          <w:rFonts w:eastAsia="方正仿宋_GBK"/>
          <w:color w:val="000000" w:themeColor="text1"/>
          <w:sz w:val="32"/>
          <w:szCs w:val="32"/>
          <w:lang w:val="zh-CN"/>
          <w14:textFill>
            <w14:solidFill>
              <w14:schemeClr w14:val="tx1"/>
            </w14:solidFill>
          </w14:textFill>
        </w:rPr>
        <w:t>我局</w:t>
      </w:r>
      <w:r>
        <w:rPr>
          <w:rFonts w:eastAsia="方正仿宋_GBK"/>
          <w:color w:val="000000" w:themeColor="text1"/>
          <w:sz w:val="32"/>
          <w:szCs w:val="32"/>
          <w14:textFill>
            <w14:solidFill>
              <w14:schemeClr w14:val="tx1"/>
            </w14:solidFill>
          </w14:textFill>
        </w:rPr>
        <w:t>5个常年项目及3个阶段项目（含一次性项目）绩效目标</w:t>
      </w:r>
      <w:r>
        <w:rPr>
          <w:rFonts w:eastAsia="方正仿宋_GBK"/>
          <w:color w:val="000000" w:themeColor="text1"/>
          <w:sz w:val="32"/>
          <w:szCs w:val="32"/>
          <w:lang w:val="zh-CN"/>
          <w14:textFill>
            <w14:solidFill>
              <w14:schemeClr w14:val="tx1"/>
            </w14:solidFill>
          </w14:textFill>
        </w:rPr>
        <w:t>目标数量指标实现程度</w:t>
      </w:r>
      <w:r>
        <w:rPr>
          <w:rFonts w:eastAsia="方正仿宋_GBK"/>
          <w:color w:val="000000" w:themeColor="text1"/>
          <w:sz w:val="32"/>
          <w:szCs w:val="32"/>
          <w14:textFill>
            <w14:solidFill>
              <w14:schemeClr w14:val="tx1"/>
            </w14:solidFill>
          </w14:textFill>
        </w:rPr>
        <w:t>100%，</w:t>
      </w:r>
      <w:r>
        <w:rPr>
          <w:rFonts w:eastAsia="方正仿宋_GBK"/>
          <w:color w:val="000000" w:themeColor="text1"/>
          <w:sz w:val="32"/>
          <w:szCs w:val="32"/>
          <w:lang w:val="zh-CN"/>
          <w14:textFill>
            <w14:solidFill>
              <w14:schemeClr w14:val="tx1"/>
            </w14:solidFill>
          </w14:textFill>
        </w:rPr>
        <w:t>与预期目标数量指标无偏离。</w:t>
      </w:r>
      <w:r>
        <w:rPr>
          <w:rFonts w:eastAsia="方正仿宋_GBK"/>
          <w:color w:val="000000" w:themeColor="text1"/>
          <w:sz w:val="32"/>
          <w:szCs w:val="32"/>
          <w14:textFill>
            <w14:solidFill>
              <w14:schemeClr w14:val="tx1"/>
            </w14:solidFill>
          </w14:textFill>
        </w:rPr>
        <w:t>自评得分为4分。</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14:textFill>
            <w14:solidFill>
              <w14:schemeClr w14:val="tx1"/>
            </w14:solidFill>
          </w14:textFill>
        </w:rPr>
        <w:t>（3）实现效果（3分，得3分）。</w:t>
      </w:r>
      <w:r>
        <w:rPr>
          <w:rFonts w:eastAsia="方正仿宋_GBK"/>
          <w:color w:val="000000" w:themeColor="text1"/>
          <w:sz w:val="32"/>
          <w:szCs w:val="32"/>
          <w:lang w:val="zh-CN"/>
          <w14:textFill>
            <w14:solidFill>
              <w14:schemeClr w14:val="tx1"/>
            </w14:solidFill>
          </w14:textFill>
        </w:rPr>
        <w:t>我局</w:t>
      </w:r>
      <w:r>
        <w:rPr>
          <w:rFonts w:eastAsia="方正仿宋_GBK"/>
          <w:color w:val="000000" w:themeColor="text1"/>
          <w:sz w:val="32"/>
          <w:szCs w:val="32"/>
          <w14:textFill>
            <w14:solidFill>
              <w14:schemeClr w14:val="tx1"/>
            </w14:solidFill>
          </w14:textFill>
        </w:rPr>
        <w:t>5个常年项目及3个阶段项目（含一次性项目）均完成绩效目标效益，自评得分为3分。</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（三）绩效结果应用情况</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1.内部应用情况。我局将绩效评价结果作为下一年度预算编制的重要依据，以绩效评价反映的问题为导向，结合部门预算绩效评价指标体系，进一步优化、细化、量化指标设置，做到绩效指标设置科学性合理、规范完整，提高与预算匹配率。</w:t>
      </w:r>
    </w:p>
    <w:p>
      <w:pPr>
        <w:adjustRightInd w:val="0"/>
        <w:snapToGrid w:val="0"/>
        <w:spacing w:line="600" w:lineRule="exact"/>
        <w:ind w:firstLine="640" w:firstLineChars="200"/>
        <w:rPr>
          <w:rFonts w:eastAsia="方正仿宋_GBK"/>
          <w:color w:val="000000" w:themeColor="text1"/>
          <w:spacing w:val="-6"/>
          <w:sz w:val="32"/>
          <w:szCs w:val="32"/>
          <w:lang w:val="zh-CN"/>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2.信息公开情况。</w:t>
      </w:r>
      <w:r>
        <w:rPr>
          <w:rFonts w:eastAsia="方正仿宋_GBK"/>
          <w:color w:val="000000" w:themeColor="text1"/>
          <w:spacing w:val="-6"/>
          <w:sz w:val="32"/>
          <w:szCs w:val="32"/>
          <w:lang w:val="zh-CN"/>
          <w14:textFill>
            <w14:solidFill>
              <w14:schemeClr w14:val="tx1"/>
            </w14:solidFill>
          </w14:textFill>
        </w:rPr>
        <w:t>按照政府信息公开的相关要求，及时在政府网站公开部门预算绩效自评报告、项目绩效自评表等信息，主动接受社会公众的监督，增强了预算绩效管理工作的透明度 。</w:t>
      </w:r>
    </w:p>
    <w:p>
      <w:pPr>
        <w:adjustRightInd w:val="0"/>
        <w:snapToGrid w:val="0"/>
        <w:spacing w:line="600" w:lineRule="exact"/>
        <w:ind w:firstLine="640" w:firstLineChars="200"/>
        <w:rPr>
          <w:rFonts w:eastAsia="方正仿宋_GBK"/>
          <w:color w:val="000000" w:themeColor="text1"/>
          <w:sz w:val="32"/>
          <w:szCs w:val="32"/>
          <w14:textFill>
            <w14:solidFill>
              <w14:schemeClr w14:val="tx1"/>
            </w14:solidFill>
          </w14:textFill>
        </w:rPr>
      </w:pPr>
      <w:r>
        <w:rPr>
          <w:rFonts w:eastAsia="方正仿宋_GBK"/>
          <w:color w:val="000000" w:themeColor="text1"/>
          <w:sz w:val="32"/>
          <w:szCs w:val="32"/>
          <w:lang w:val="zh-CN"/>
          <w14:textFill>
            <w14:solidFill>
              <w14:schemeClr w14:val="tx1"/>
            </w14:solidFill>
          </w14:textFill>
        </w:rPr>
        <w:t>3.整改反馈情况。针对绩效评价过程中反映出的问题，及时与项目实施</w:t>
      </w:r>
      <w:r>
        <w:rPr>
          <w:rFonts w:eastAsia="方正仿宋_GBK"/>
          <w:color w:val="000000" w:themeColor="text1"/>
          <w:sz w:val="32"/>
          <w:szCs w:val="32"/>
          <w14:textFill>
            <w14:solidFill>
              <w14:schemeClr w14:val="tx1"/>
            </w14:solidFill>
          </w14:textFill>
        </w:rPr>
        <w:t>部门沟通</w:t>
      </w:r>
      <w:r>
        <w:rPr>
          <w:rFonts w:eastAsia="方正仿宋_GBK"/>
          <w:color w:val="000000" w:themeColor="text1"/>
          <w:sz w:val="32"/>
          <w:szCs w:val="32"/>
          <w:lang w:val="zh-CN"/>
          <w14:textFill>
            <w14:solidFill>
              <w14:schemeClr w14:val="tx1"/>
            </w14:solidFill>
          </w14:textFill>
        </w:rPr>
        <w:t>，通过调整目标设置、指标设置等措施加以整改。通过整改，进一步完善项目管理制度和工作流程，提高预算执行效率和资金使用效益。</w:t>
      </w:r>
    </w:p>
    <w:p>
      <w:pPr>
        <w:widowControl/>
        <w:adjustRightInd w:val="0"/>
        <w:snapToGrid w:val="0"/>
        <w:spacing w:line="600" w:lineRule="exact"/>
        <w:ind w:firstLine="640" w:firstLineChars="200"/>
        <w:rPr>
          <w:rFonts w:eastAsia="方正黑体_GBK"/>
          <w:color w:val="000000"/>
          <w:kern w:val="0"/>
          <w:sz w:val="32"/>
          <w:szCs w:val="32"/>
          <w:shd w:val="clear" w:color="auto" w:fill="FFFFFF"/>
        </w:rPr>
      </w:pPr>
      <w:r>
        <w:rPr>
          <w:rFonts w:eastAsia="方正黑体_GBK"/>
          <w:color w:val="000000"/>
          <w:kern w:val="0"/>
          <w:sz w:val="32"/>
          <w:szCs w:val="32"/>
          <w:shd w:val="clear" w:color="auto" w:fill="FFFFFF"/>
        </w:rPr>
        <w:t>四、评价结论及措施</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（一）评价结论</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lang w:val="en"/>
          <w14:textFill>
            <w14:solidFill>
              <w14:schemeClr w14:val="tx1"/>
            </w14:solidFill>
          </w14:textFill>
        </w:rPr>
        <w:t>攀枝花市统计局</w:t>
      </w:r>
      <w:r>
        <w:rPr>
          <w:rFonts w:eastAsia="方正仿宋_GBK"/>
          <w:color w:val="000000" w:themeColor="text1"/>
          <w:sz w:val="32"/>
          <w:szCs w:val="32"/>
          <w:lang w:val="zh-CN"/>
          <w14:textFill>
            <w14:solidFill>
              <w14:schemeClr w14:val="tx1"/>
            </w14:solidFill>
          </w14:textFill>
        </w:rPr>
        <w:t>严格按照市财政局印发的《部门预算绩效评价指标体系》要求，根据指标解释、评分方法、评分说明，结合本单位实际情况，逐项开展自评，认真测算指标分值，自评得分真实准确、有据可查。</w:t>
      </w:r>
      <w:r>
        <w:rPr>
          <w:rFonts w:eastAsia="方正仿宋_GBK"/>
          <w:color w:val="000000" w:themeColor="text1"/>
          <w:sz w:val="32"/>
          <w:szCs w:val="32"/>
          <w:lang w:val="en"/>
          <w14:textFill>
            <w14:solidFill>
              <w14:schemeClr w14:val="tx1"/>
            </w14:solidFill>
          </w14:textFill>
        </w:rPr>
        <w:t>在履职效能、预算管理、财务管理、资产管理、采购管理以及项目绩效等方面均取得了较好的成绩，</w:t>
      </w:r>
      <w:r>
        <w:rPr>
          <w:rFonts w:eastAsia="方正仿宋_GBK"/>
          <w:color w:val="000000" w:themeColor="text1"/>
          <w:sz w:val="32"/>
          <w:szCs w:val="32"/>
          <w14:textFill>
            <w14:solidFill>
              <w14:schemeClr w14:val="tx1"/>
            </w14:solidFill>
          </w14:textFill>
        </w:rPr>
        <w:t>为高质量发展建设共同富裕试验区贡献了统计力量，自评得分为</w:t>
      </w:r>
      <w:r>
        <w:rPr>
          <w:rFonts w:eastAsia="方正仿宋_GBK"/>
          <w:sz w:val="32"/>
          <w:szCs w:val="32"/>
        </w:rPr>
        <w:t>96.56</w:t>
      </w:r>
      <w:r>
        <w:rPr>
          <w:rFonts w:eastAsia="方正仿宋_GBK"/>
          <w:color w:val="000000" w:themeColor="text1"/>
          <w:sz w:val="32"/>
          <w:szCs w:val="32"/>
          <w14:textFill>
            <w14:solidFill>
              <w14:schemeClr w14:val="tx1"/>
            </w14:solidFill>
          </w14:textFill>
        </w:rPr>
        <w:t>分。</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（二）存在问题</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一是</w:t>
      </w:r>
      <w:r>
        <w:rPr>
          <w:rFonts w:eastAsia="方正仿宋_GBK"/>
          <w:color w:val="000000" w:themeColor="text1"/>
          <w:sz w:val="32"/>
          <w:szCs w:val="32"/>
          <w:lang w:val="en"/>
          <w14:textFill>
            <w14:solidFill>
              <w14:schemeClr w14:val="tx1"/>
            </w14:solidFill>
          </w14:textFill>
        </w:rPr>
        <w:t>部分项目预算执行进度受政策调整、资金拨付流程等因素影响，个别项目未能按计划完成预算执行。</w:t>
      </w:r>
      <w:r>
        <w:rPr>
          <w:rFonts w:eastAsia="方正仿宋_GBK"/>
          <w:color w:val="000000" w:themeColor="text1"/>
          <w:sz w:val="32"/>
          <w:szCs w:val="32"/>
          <w14:textFill>
            <w14:solidFill>
              <w14:schemeClr w14:val="tx1"/>
            </w14:solidFill>
          </w14:textFill>
        </w:rPr>
        <w:t>二是</w:t>
      </w:r>
      <w:r>
        <w:rPr>
          <w:rFonts w:eastAsia="方正仿宋_GBK"/>
          <w:color w:val="000000" w:themeColor="text1"/>
          <w:sz w:val="32"/>
          <w:szCs w:val="32"/>
          <w:lang w:val="en"/>
          <w14:textFill>
            <w14:solidFill>
              <w14:schemeClr w14:val="tx1"/>
            </w14:solidFill>
          </w14:textFill>
        </w:rPr>
        <w:t>预算绩效管理的精细化程度还有待提高，在绩效目标的设定、绩效指标的设置、绩效监控的频率和绩效评价的深度等方面需进一步提高。</w:t>
      </w:r>
    </w:p>
    <w:p>
      <w:pPr>
        <w:adjustRightInd w:val="0"/>
        <w:snapToGrid w:val="0"/>
        <w:spacing w:line="600" w:lineRule="exact"/>
        <w:ind w:firstLine="642" w:firstLineChars="200"/>
        <w:rPr>
          <w:rFonts w:eastAsia="方正楷体_GBK"/>
          <w:b/>
          <w:bCs/>
          <w:color w:val="000000"/>
          <w:kern w:val="0"/>
          <w:sz w:val="32"/>
          <w:szCs w:val="32"/>
          <w:shd w:val="clear" w:color="auto" w:fill="FFFFFF"/>
          <w:lang w:val="zh-CN"/>
        </w:rPr>
      </w:pPr>
      <w:r>
        <w:rPr>
          <w:rFonts w:eastAsia="方正楷体_GBK"/>
          <w:b/>
          <w:bCs/>
          <w:color w:val="000000"/>
          <w:kern w:val="0"/>
          <w:sz w:val="32"/>
          <w:szCs w:val="32"/>
          <w:shd w:val="clear" w:color="auto" w:fill="FFFFFF"/>
          <w:lang w:val="zh-CN"/>
        </w:rPr>
        <w:t>（三）改进措施</w:t>
      </w:r>
    </w:p>
    <w:p>
      <w:pPr>
        <w:adjustRightInd w:val="0"/>
        <w:snapToGrid w:val="0"/>
        <w:spacing w:line="600" w:lineRule="exact"/>
        <w:ind w:firstLine="640" w:firstLineChars="200"/>
        <w:rPr>
          <w:rFonts w:eastAsia="方正仿宋_GBK"/>
          <w:color w:val="000000" w:themeColor="text1"/>
          <w:sz w:val="32"/>
          <w:szCs w:val="32"/>
          <w:lang w:val="zh-CN"/>
          <w14:textFill>
            <w14:solidFill>
              <w14:schemeClr w14:val="tx1"/>
            </w14:solidFill>
          </w14:textFill>
        </w:rPr>
      </w:pPr>
      <w:r>
        <w:rPr>
          <w:rFonts w:eastAsia="方正仿宋_GBK"/>
          <w:color w:val="000000" w:themeColor="text1"/>
          <w:sz w:val="32"/>
          <w:szCs w:val="32"/>
          <w14:textFill>
            <w14:solidFill>
              <w14:schemeClr w14:val="tx1"/>
            </w14:solidFill>
          </w14:textFill>
        </w:rPr>
        <w:t>1.针对未能按计划完成预算执行问题。一是强化预算执行动态监控。实时跟踪项目实施进度与资金使用，对执行缓慢的项目及时发出预警，分析原因并制定针对性解决方案。</w:t>
      </w:r>
      <w:r>
        <w:rPr>
          <w:rFonts w:eastAsia="方正仿宋_GBK"/>
          <w:color w:val="000000" w:themeColor="text1"/>
          <w:sz w:val="32"/>
          <w:szCs w:val="32"/>
          <w:lang w:val="zh-CN"/>
          <w14:textFill>
            <w14:solidFill>
              <w14:schemeClr w14:val="tx1"/>
            </w14:solidFill>
          </w14:textFill>
        </w:rPr>
        <w:t>保障预算执行进度，发挥资金的使用效益，提高预算完成率。二是完善预算调整机制。对于因客观因素无法按计划执行的项目，简化预算调整审批流程，允许在合理范围内灵活调整预算执行计划，确保资金使用与项目实际推进情况相匹配。同时，明确预算调整的条件和程序，避免随意调整。</w:t>
      </w:r>
    </w:p>
    <w:p>
      <w:pPr>
        <w:adjustRightInd w:val="0"/>
        <w:snapToGrid w:val="0"/>
        <w:spacing w:line="600" w:lineRule="exact"/>
        <w:ind w:firstLine="640" w:firstLineChars="200"/>
        <w:rPr>
          <w:rFonts w:eastAsia="方正仿宋_GBK"/>
          <w:color w:val="000000" w:themeColor="text1"/>
          <w:sz w:val="32"/>
          <w:szCs w:val="32"/>
          <w:lang w:val="en"/>
          <w14:textFill>
            <w14:solidFill>
              <w14:schemeClr w14:val="tx1"/>
            </w14:solidFill>
          </w14:textFill>
        </w:rPr>
      </w:pPr>
      <w:r>
        <w:rPr>
          <w:rFonts w:eastAsia="方正仿宋_GBK"/>
          <w:color w:val="000000" w:themeColor="text1"/>
          <w:sz w:val="32"/>
          <w:szCs w:val="32"/>
          <w:lang w:val="en"/>
          <w14:textFill>
            <w14:solidFill>
              <w14:schemeClr w14:val="tx1"/>
            </w14:solidFill>
          </w14:textFill>
        </w:rPr>
        <w:t>2.针对预算绩效管理精细化程度有待提高问题。一是在项目前期准备阶段，项目实施科室要明确具体工作内容、时间节点和资金需求，结合工作实际和项目特点，进一步完善绩效指标体系，科学合理设定绩效目标，确保绩效指标能够全面、准确反映项目的产出和效果，避免粗放编制导致执行偏差。二是加大绩效监控力度，增加绩效监控的频率，及时掌握项目执行过程中的绩效情况，提前发现潜在问题并采取措施加以解决，提高预算执行的精准性和可控性。三是加强对项目实施科室工作人员及预算绩效管理工作人员的培训，提高其业务水平和专业能力，为预算绩效管理工作的深入开展提供人才保障。</w:t>
      </w:r>
    </w:p>
    <w:p>
      <w:pPr>
        <w:pStyle w:val="2"/>
        <w:spacing w:line="600" w:lineRule="exact"/>
        <w:ind w:firstLine="640"/>
        <w:rPr>
          <w:rFonts w:eastAsia="方正仿宋_GBK" w:cs="Times New Roman"/>
        </w:rPr>
      </w:pPr>
      <w:r>
        <w:rPr>
          <w:rFonts w:eastAsia="方正仿宋_GBK" w:cs="Times New Roman"/>
          <w:color w:val="000000" w:themeColor="text1"/>
          <w:lang w:val="en"/>
          <w14:textFill>
            <w14:solidFill>
              <w14:schemeClr w14:val="tx1"/>
            </w14:solidFill>
          </w14:textFill>
        </w:rPr>
        <w:t>附表：部门预算项目支出绩效自评表（</w:t>
      </w:r>
      <w:r>
        <w:rPr>
          <w:rFonts w:eastAsia="方正仿宋_GBK" w:cs="Times New Roman"/>
          <w:color w:val="000000" w:themeColor="text1"/>
          <w14:textFill>
            <w14:solidFill>
              <w14:schemeClr w14:val="tx1"/>
            </w14:solidFill>
          </w14:textFill>
        </w:rPr>
        <w:t>2025年度</w:t>
      </w:r>
      <w:r>
        <w:rPr>
          <w:rFonts w:eastAsia="方正仿宋_GBK" w:cs="Times New Roman"/>
          <w:color w:val="000000" w:themeColor="text1"/>
          <w:lang w:val="en"/>
          <w14:textFill>
            <w14:solidFill>
              <w14:schemeClr w14:val="tx1"/>
            </w14:solidFill>
          </w14:textFill>
        </w:rPr>
        <w:t>）</w:t>
      </w:r>
    </w:p>
    <w:bookmarkEnd w:id="53"/>
    <w:p>
      <w:pPr>
        <w:widowControl/>
        <w:jc w:val="center"/>
        <w:rPr>
          <w:rFonts w:eastAsia="黑体"/>
          <w:sz w:val="44"/>
          <w:szCs w:val="44"/>
        </w:rPr>
      </w:pPr>
      <w:bookmarkStart w:id="54" w:name="_Toc15396618"/>
    </w:p>
    <w:p>
      <w:pPr>
        <w:widowControl/>
        <w:jc w:val="center"/>
        <w:rPr>
          <w:rFonts w:eastAsia="黑体"/>
          <w:sz w:val="44"/>
          <w:szCs w:val="44"/>
        </w:rPr>
      </w:pPr>
    </w:p>
    <w:p>
      <w:pPr>
        <w:widowControl/>
        <w:jc w:val="center"/>
        <w:rPr>
          <w:rFonts w:eastAsia="黑体"/>
          <w:sz w:val="44"/>
          <w:szCs w:val="44"/>
        </w:rPr>
      </w:pPr>
    </w:p>
    <w:p>
      <w:pPr>
        <w:widowControl/>
        <w:jc w:val="center"/>
        <w:rPr>
          <w:rFonts w:ascii="方正小标宋简体" w:hAnsi="方正小标宋简体" w:eastAsia="方正小标宋简体" w:cs="方正小标宋简体"/>
        </w:rPr>
      </w:pPr>
      <w:r>
        <w:rPr>
          <w:rFonts w:hint="eastAsia" w:ascii="方正小标宋简体" w:hAnsi="方正小标宋简体" w:eastAsia="方正小标宋简体" w:cs="方正小标宋简体"/>
          <w:sz w:val="44"/>
          <w:szCs w:val="44"/>
        </w:rPr>
        <w:t>第</w:t>
      </w:r>
      <w:r>
        <w:rPr>
          <w:rStyle w:val="30"/>
          <w:rFonts w:hint="eastAsia" w:ascii="方正小标宋简体" w:hAnsi="方正小标宋简体" w:eastAsia="方正小标宋简体" w:cs="方正小标宋简体"/>
          <w:b w:val="0"/>
        </w:rPr>
        <w:t>五部分 附表</w:t>
      </w:r>
      <w:bookmarkEnd w:id="52"/>
      <w:bookmarkEnd w:id="54"/>
      <w:bookmarkStart w:id="55" w:name="_Toc15396619"/>
    </w:p>
    <w:p>
      <w:pPr>
        <w:pStyle w:val="16"/>
        <w:adjustRightInd w:val="0"/>
        <w:snapToGrid w:val="0"/>
        <w:spacing w:line="560" w:lineRule="exact"/>
        <w:jc w:val="left"/>
        <w:rPr>
          <w:rFonts w:ascii="方正仿宋_GBK" w:hAnsi="方正仿宋_GBK" w:eastAsia="方正仿宋_GBK" w:cs="方正仿宋_GBK"/>
          <w:sz w:val="32"/>
          <w:szCs w:val="32"/>
        </w:rPr>
      </w:pPr>
    </w:p>
    <w:p>
      <w:pPr>
        <w:pStyle w:val="16"/>
        <w:adjustRightInd w:val="0"/>
        <w:snapToGrid w:val="0"/>
        <w:spacing w:line="560" w:lineRule="exact"/>
        <w:jc w:val="left"/>
        <w:rPr>
          <w:rFonts w:eastAsia="方正仿宋_GBK"/>
          <w:sz w:val="32"/>
          <w:szCs w:val="32"/>
        </w:rPr>
      </w:pPr>
      <w:r>
        <w:rPr>
          <w:rFonts w:eastAsia="方正仿宋_GBK"/>
          <w:sz w:val="32"/>
          <w:szCs w:val="32"/>
        </w:rPr>
        <w:t>一、收入支出决算总表</w:t>
      </w:r>
      <w:bookmarkEnd w:id="55"/>
    </w:p>
    <w:p>
      <w:pPr>
        <w:pStyle w:val="16"/>
        <w:adjustRightInd w:val="0"/>
        <w:snapToGrid w:val="0"/>
        <w:spacing w:line="560" w:lineRule="exact"/>
        <w:jc w:val="left"/>
        <w:rPr>
          <w:rFonts w:eastAsia="方正仿宋_GBK"/>
          <w:sz w:val="32"/>
          <w:szCs w:val="32"/>
        </w:rPr>
      </w:pPr>
      <w:bookmarkStart w:id="56" w:name="_Toc15396620"/>
      <w:r>
        <w:rPr>
          <w:rFonts w:eastAsia="方正仿宋_GBK"/>
          <w:sz w:val="32"/>
          <w:szCs w:val="32"/>
        </w:rPr>
        <w:t>二、收入决算表</w:t>
      </w:r>
      <w:bookmarkEnd w:id="56"/>
    </w:p>
    <w:p>
      <w:pPr>
        <w:pStyle w:val="16"/>
        <w:adjustRightInd w:val="0"/>
        <w:snapToGrid w:val="0"/>
        <w:spacing w:line="560" w:lineRule="exact"/>
        <w:jc w:val="left"/>
        <w:rPr>
          <w:rFonts w:eastAsia="方正仿宋_GBK"/>
          <w:sz w:val="32"/>
          <w:szCs w:val="32"/>
        </w:rPr>
      </w:pPr>
      <w:bookmarkStart w:id="57" w:name="_Toc15396621"/>
      <w:r>
        <w:rPr>
          <w:rFonts w:eastAsia="方正仿宋_GBK"/>
          <w:sz w:val="32"/>
          <w:szCs w:val="32"/>
        </w:rPr>
        <w:t>三、支出决算表</w:t>
      </w:r>
      <w:bookmarkEnd w:id="57"/>
    </w:p>
    <w:p>
      <w:pPr>
        <w:pStyle w:val="16"/>
        <w:adjustRightInd w:val="0"/>
        <w:snapToGrid w:val="0"/>
        <w:spacing w:line="560" w:lineRule="exact"/>
        <w:jc w:val="left"/>
        <w:rPr>
          <w:rFonts w:eastAsia="方正仿宋_GBK"/>
          <w:sz w:val="32"/>
          <w:szCs w:val="32"/>
        </w:rPr>
      </w:pPr>
      <w:bookmarkStart w:id="58" w:name="_Toc15396622"/>
      <w:r>
        <w:rPr>
          <w:rFonts w:eastAsia="方正仿宋_GBK"/>
          <w:sz w:val="32"/>
          <w:szCs w:val="32"/>
        </w:rPr>
        <w:t>四、财政拨款收入支出决算总表</w:t>
      </w:r>
      <w:bookmarkEnd w:id="58"/>
    </w:p>
    <w:p>
      <w:pPr>
        <w:pStyle w:val="16"/>
        <w:adjustRightInd w:val="0"/>
        <w:snapToGrid w:val="0"/>
        <w:spacing w:line="560" w:lineRule="exact"/>
        <w:jc w:val="left"/>
        <w:rPr>
          <w:rFonts w:eastAsia="方正仿宋_GBK"/>
          <w:sz w:val="32"/>
          <w:szCs w:val="32"/>
        </w:rPr>
      </w:pPr>
      <w:bookmarkStart w:id="59" w:name="_Toc15396623"/>
      <w:r>
        <w:rPr>
          <w:rFonts w:eastAsia="方正仿宋_GBK"/>
          <w:sz w:val="32"/>
          <w:szCs w:val="32"/>
        </w:rPr>
        <w:t>五、财政拨款支出决算明细表</w:t>
      </w:r>
      <w:bookmarkEnd w:id="59"/>
      <w:bookmarkStart w:id="60" w:name="_Toc15396624"/>
    </w:p>
    <w:p>
      <w:pPr>
        <w:pStyle w:val="16"/>
        <w:adjustRightInd w:val="0"/>
        <w:snapToGrid w:val="0"/>
        <w:spacing w:line="560" w:lineRule="exact"/>
        <w:jc w:val="left"/>
        <w:rPr>
          <w:rFonts w:eastAsia="方正仿宋_GBK"/>
          <w:sz w:val="32"/>
          <w:szCs w:val="32"/>
        </w:rPr>
      </w:pPr>
      <w:r>
        <w:rPr>
          <w:rFonts w:eastAsia="方正仿宋_GBK"/>
          <w:sz w:val="32"/>
          <w:szCs w:val="32"/>
        </w:rPr>
        <w:t>六、一般公共预算财政拨款支出决算表</w:t>
      </w:r>
      <w:bookmarkEnd w:id="60"/>
    </w:p>
    <w:p>
      <w:pPr>
        <w:pStyle w:val="16"/>
        <w:adjustRightInd w:val="0"/>
        <w:snapToGrid w:val="0"/>
        <w:spacing w:line="560" w:lineRule="exact"/>
        <w:jc w:val="left"/>
        <w:rPr>
          <w:rFonts w:eastAsia="方正仿宋_GBK"/>
          <w:sz w:val="32"/>
          <w:szCs w:val="32"/>
        </w:rPr>
      </w:pPr>
      <w:bookmarkStart w:id="61" w:name="_Toc15396625"/>
      <w:r>
        <w:rPr>
          <w:rFonts w:eastAsia="方正仿宋_GBK"/>
          <w:sz w:val="32"/>
          <w:szCs w:val="32"/>
        </w:rPr>
        <w:t>七、一般公共预算财政拨款支出决算明细表</w:t>
      </w:r>
      <w:bookmarkEnd w:id="61"/>
    </w:p>
    <w:p>
      <w:pPr>
        <w:pStyle w:val="16"/>
        <w:adjustRightInd w:val="0"/>
        <w:snapToGrid w:val="0"/>
        <w:spacing w:line="560" w:lineRule="exact"/>
        <w:jc w:val="left"/>
        <w:rPr>
          <w:rFonts w:eastAsia="方正仿宋_GBK"/>
          <w:sz w:val="32"/>
          <w:szCs w:val="32"/>
        </w:rPr>
      </w:pPr>
      <w:bookmarkStart w:id="62" w:name="_Toc15396626"/>
      <w:r>
        <w:rPr>
          <w:rFonts w:eastAsia="方正仿宋_GBK"/>
          <w:sz w:val="32"/>
          <w:szCs w:val="32"/>
        </w:rPr>
        <w:t>八、一般公共预算财政拨款基本支出决算表</w:t>
      </w:r>
      <w:bookmarkEnd w:id="62"/>
    </w:p>
    <w:p>
      <w:pPr>
        <w:pStyle w:val="16"/>
        <w:adjustRightInd w:val="0"/>
        <w:snapToGrid w:val="0"/>
        <w:spacing w:line="560" w:lineRule="exact"/>
        <w:jc w:val="left"/>
        <w:rPr>
          <w:rFonts w:eastAsia="方正仿宋_GBK"/>
          <w:sz w:val="32"/>
          <w:szCs w:val="32"/>
        </w:rPr>
      </w:pPr>
      <w:bookmarkStart w:id="63" w:name="_Toc15396627"/>
      <w:r>
        <w:rPr>
          <w:rFonts w:eastAsia="方正仿宋_GBK"/>
          <w:sz w:val="32"/>
          <w:szCs w:val="32"/>
        </w:rPr>
        <w:t>九、一般公共预算财政拨款项目支出决算表</w:t>
      </w:r>
      <w:bookmarkEnd w:id="63"/>
    </w:p>
    <w:p>
      <w:pPr>
        <w:pStyle w:val="16"/>
        <w:adjustRightInd w:val="0"/>
        <w:snapToGrid w:val="0"/>
        <w:spacing w:line="560" w:lineRule="exact"/>
        <w:jc w:val="left"/>
        <w:rPr>
          <w:rFonts w:eastAsia="方正仿宋_GBK"/>
          <w:sz w:val="32"/>
          <w:szCs w:val="32"/>
        </w:rPr>
      </w:pPr>
      <w:bookmarkStart w:id="64" w:name="_Toc15396628"/>
      <w:r>
        <w:rPr>
          <w:rFonts w:eastAsia="方正仿宋_GBK"/>
          <w:sz w:val="32"/>
          <w:szCs w:val="32"/>
        </w:rPr>
        <w:t>十、</w:t>
      </w:r>
      <w:bookmarkEnd w:id="64"/>
      <w:r>
        <w:rPr>
          <w:rFonts w:eastAsia="方正仿宋_GBK"/>
          <w:sz w:val="32"/>
          <w:szCs w:val="32"/>
        </w:rPr>
        <w:t>政府性基金预算财政拨款收入支出决算表</w:t>
      </w:r>
    </w:p>
    <w:p>
      <w:pPr>
        <w:pStyle w:val="16"/>
        <w:adjustRightInd w:val="0"/>
        <w:snapToGrid w:val="0"/>
        <w:spacing w:line="560" w:lineRule="exact"/>
        <w:jc w:val="left"/>
        <w:rPr>
          <w:rFonts w:eastAsia="方正仿宋_GBK"/>
          <w:sz w:val="32"/>
          <w:szCs w:val="32"/>
        </w:rPr>
      </w:pPr>
      <w:bookmarkStart w:id="65" w:name="_Toc15396629"/>
      <w:r>
        <w:rPr>
          <w:rFonts w:eastAsia="方正仿宋_GBK"/>
          <w:sz w:val="32"/>
          <w:szCs w:val="32"/>
        </w:rPr>
        <w:t>十一、</w:t>
      </w:r>
      <w:bookmarkEnd w:id="65"/>
      <w:r>
        <w:rPr>
          <w:rFonts w:eastAsia="方正仿宋_GBK"/>
          <w:sz w:val="32"/>
          <w:szCs w:val="32"/>
        </w:rPr>
        <w:t>国有资本经营预算财政拨款收入支出决算表</w:t>
      </w:r>
    </w:p>
    <w:p>
      <w:pPr>
        <w:pStyle w:val="16"/>
        <w:adjustRightInd w:val="0"/>
        <w:snapToGrid w:val="0"/>
        <w:spacing w:line="560" w:lineRule="exact"/>
        <w:jc w:val="left"/>
        <w:rPr>
          <w:rFonts w:eastAsia="方正仿宋_GBK"/>
          <w:sz w:val="32"/>
          <w:szCs w:val="32"/>
        </w:rPr>
      </w:pPr>
      <w:bookmarkStart w:id="66" w:name="_Toc15396630"/>
      <w:r>
        <w:rPr>
          <w:rFonts w:eastAsia="方正仿宋_GBK"/>
          <w:sz w:val="32"/>
          <w:szCs w:val="32"/>
        </w:rPr>
        <w:t>十二、</w:t>
      </w:r>
      <w:bookmarkEnd w:id="66"/>
      <w:r>
        <w:rPr>
          <w:rFonts w:eastAsia="方正仿宋_GBK"/>
          <w:sz w:val="32"/>
          <w:szCs w:val="32"/>
        </w:rPr>
        <w:t>国有资本经营预算财政拨款支出决算表</w:t>
      </w:r>
    </w:p>
    <w:p>
      <w:pPr>
        <w:pStyle w:val="16"/>
        <w:adjustRightInd w:val="0"/>
        <w:snapToGrid w:val="0"/>
        <w:spacing w:line="560" w:lineRule="exact"/>
        <w:jc w:val="left"/>
        <w:rPr>
          <w:rFonts w:eastAsia="方正仿宋_GBK"/>
          <w:sz w:val="32"/>
          <w:szCs w:val="32"/>
        </w:rPr>
      </w:pPr>
      <w:bookmarkStart w:id="67" w:name="_Toc15396631"/>
      <w:r>
        <w:rPr>
          <w:rFonts w:eastAsia="方正仿宋_GBK"/>
          <w:sz w:val="32"/>
          <w:szCs w:val="32"/>
        </w:rPr>
        <w:t>十三、</w:t>
      </w:r>
      <w:bookmarkEnd w:id="67"/>
      <w:r>
        <w:rPr>
          <w:rFonts w:eastAsia="方正仿宋_GBK"/>
          <w:sz w:val="32"/>
          <w:szCs w:val="32"/>
        </w:rPr>
        <w:t>财政拨款“三公”经费支出决算表</w:t>
      </w:r>
    </w:p>
    <w:p>
      <w:pPr>
        <w:rPr>
          <w:rFonts w:ascii="方正仿宋_GBK" w:hAnsi="方正仿宋_GBK" w:eastAsia="方正仿宋_GBK" w:cs="方正仿宋_GBK"/>
        </w:rPr>
      </w:pPr>
    </w:p>
    <w:sectPr>
      <w:footerReference r:id="rId9" w:type="first"/>
      <w:footerReference r:id="rId7" w:type="default"/>
      <w:footerReference r:id="rId8" w:type="even"/>
      <w:pgSz w:w="11906" w:h="16838"/>
      <w:pgMar w:top="2098" w:right="1474" w:bottom="1984" w:left="1587" w:header="851" w:footer="907"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panose1 w:val="020406020503050303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p>
  <w:p>
    <w:pPr>
      <w:pStyle w:val="12"/>
      <w:ind w:right="560"/>
      <w:rPr>
        <w:rFonts w:asciiTheme="minorEastAsia" w:hAnsiTheme="minorEastAsia" w:eastAsiaTheme="minorEastAsia"/>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255168209"/>
    </w:sdtPr>
    <w:sdtEndPr>
      <w:rPr>
        <w:rFonts w:asciiTheme="minorEastAsia" w:hAnsiTheme="minorEastAsia" w:eastAsiaTheme="minorEastAsia"/>
        <w:sz w:val="28"/>
        <w:szCs w:val="28"/>
      </w:rPr>
    </w:sdtEndPr>
    <w:sdtContent>
      <w:p>
        <w:pPr>
          <w:pStyle w:val="12"/>
          <w:ind w:right="14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280" w:firstLineChars="100"/>
      <w:rPr>
        <w:rFonts w:asciiTheme="minorEastAsia" w:hAnsiTheme="minorEastAsia" w:eastAsiaTheme="minorEastAsia"/>
        <w:sz w:val="28"/>
        <w:szCs w:val="28"/>
      </w:rPr>
    </w:pPr>
    <w:r>
      <w:rPr>
        <w:rFonts w:hint="eastAsia" w:asciiTheme="minorEastAsia" w:hAnsiTheme="minorEastAsia" w:eastAsiaTheme="minorEastAsia"/>
        <w:sz w:val="28"/>
        <w:szCs w:val="28"/>
      </w:rPr>
      <w:t>－</w:t>
    </w:r>
    <w:sdt>
      <w:sdtPr>
        <w:rPr>
          <w:rFonts w:asciiTheme="minorEastAsia" w:hAnsiTheme="minorEastAsia" w:eastAsiaTheme="minorEastAsia"/>
          <w:sz w:val="28"/>
          <w:szCs w:val="28"/>
        </w:rPr>
        <w:id w:val="-1899887508"/>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28</w:t>
        </w:r>
        <w:r>
          <w:rPr>
            <w:rFonts w:asciiTheme="minorEastAsia" w:hAnsiTheme="minorEastAsia" w:eastAsiaTheme="minorEastAsia"/>
            <w:sz w:val="28"/>
            <w:szCs w:val="28"/>
          </w:rPr>
          <w:fldChar w:fldCharType="end"/>
        </w:r>
      </w:sdtContent>
    </w:sdt>
    <w:r>
      <w:rPr>
        <w:rFonts w:hint="eastAsia" w:asciiTheme="minorEastAsia" w:hAnsiTheme="minorEastAsia" w:eastAsiaTheme="minorEastAsia"/>
        <w:sz w:val="28"/>
        <w:szCs w:val="28"/>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047603182"/>
    </w:sdtPr>
    <w:sdtEndPr>
      <w:rPr>
        <w:rFonts w:asciiTheme="minorEastAsia" w:hAnsiTheme="minorEastAsia" w:eastAsiaTheme="minorEastAsia"/>
        <w:sz w:val="28"/>
        <w:szCs w:val="28"/>
      </w:rPr>
    </w:sdtEndPr>
    <w:sdtContent>
      <w:p>
        <w:pPr>
          <w:pStyle w:val="12"/>
          <w:ind w:right="28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evenAndOddHeaders w:val="true"/>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8A6"/>
    <w:rsid w:val="0001010F"/>
    <w:rsid w:val="000222C6"/>
    <w:rsid w:val="0002549F"/>
    <w:rsid w:val="00034B51"/>
    <w:rsid w:val="000468DB"/>
    <w:rsid w:val="00054B82"/>
    <w:rsid w:val="00056377"/>
    <w:rsid w:val="00062A45"/>
    <w:rsid w:val="0006487A"/>
    <w:rsid w:val="00065F8F"/>
    <w:rsid w:val="00070A43"/>
    <w:rsid w:val="000768F2"/>
    <w:rsid w:val="0009184B"/>
    <w:rsid w:val="00094236"/>
    <w:rsid w:val="0009593C"/>
    <w:rsid w:val="00097322"/>
    <w:rsid w:val="000A3C9C"/>
    <w:rsid w:val="000A6A92"/>
    <w:rsid w:val="000B047F"/>
    <w:rsid w:val="000B3406"/>
    <w:rsid w:val="000B5923"/>
    <w:rsid w:val="000B5A48"/>
    <w:rsid w:val="000B6FF3"/>
    <w:rsid w:val="000C3467"/>
    <w:rsid w:val="000C3CA6"/>
    <w:rsid w:val="000C6164"/>
    <w:rsid w:val="000D1267"/>
    <w:rsid w:val="000D1D50"/>
    <w:rsid w:val="000D5782"/>
    <w:rsid w:val="000E1870"/>
    <w:rsid w:val="000E6613"/>
    <w:rsid w:val="000E7119"/>
    <w:rsid w:val="00114E9B"/>
    <w:rsid w:val="0012635A"/>
    <w:rsid w:val="0014084C"/>
    <w:rsid w:val="00142216"/>
    <w:rsid w:val="00144D6A"/>
    <w:rsid w:val="0014729F"/>
    <w:rsid w:val="00157BAB"/>
    <w:rsid w:val="001654D1"/>
    <w:rsid w:val="00174518"/>
    <w:rsid w:val="0018106D"/>
    <w:rsid w:val="001877A7"/>
    <w:rsid w:val="00191536"/>
    <w:rsid w:val="00196687"/>
    <w:rsid w:val="001A62D5"/>
    <w:rsid w:val="001C0962"/>
    <w:rsid w:val="001D7531"/>
    <w:rsid w:val="001E4AED"/>
    <w:rsid w:val="001E737D"/>
    <w:rsid w:val="001F0592"/>
    <w:rsid w:val="001F7506"/>
    <w:rsid w:val="002006CD"/>
    <w:rsid w:val="00202049"/>
    <w:rsid w:val="00202B36"/>
    <w:rsid w:val="00204B7A"/>
    <w:rsid w:val="00204CDE"/>
    <w:rsid w:val="0021101A"/>
    <w:rsid w:val="00220536"/>
    <w:rsid w:val="00235629"/>
    <w:rsid w:val="00260C38"/>
    <w:rsid w:val="002616C0"/>
    <w:rsid w:val="00265372"/>
    <w:rsid w:val="002662AA"/>
    <w:rsid w:val="00280496"/>
    <w:rsid w:val="00284CF6"/>
    <w:rsid w:val="00294DC9"/>
    <w:rsid w:val="00295495"/>
    <w:rsid w:val="002A31DE"/>
    <w:rsid w:val="002A75BF"/>
    <w:rsid w:val="002B2613"/>
    <w:rsid w:val="002B5AD0"/>
    <w:rsid w:val="002D6D05"/>
    <w:rsid w:val="002F1382"/>
    <w:rsid w:val="002F1818"/>
    <w:rsid w:val="002F567B"/>
    <w:rsid w:val="00314F57"/>
    <w:rsid w:val="003216A9"/>
    <w:rsid w:val="00335A74"/>
    <w:rsid w:val="0036561B"/>
    <w:rsid w:val="0037013F"/>
    <w:rsid w:val="00373BF6"/>
    <w:rsid w:val="00380C92"/>
    <w:rsid w:val="003A484F"/>
    <w:rsid w:val="003A4883"/>
    <w:rsid w:val="003B0BE0"/>
    <w:rsid w:val="003B0C1B"/>
    <w:rsid w:val="003B688C"/>
    <w:rsid w:val="003C0291"/>
    <w:rsid w:val="003C24CF"/>
    <w:rsid w:val="003C39AE"/>
    <w:rsid w:val="003C7B60"/>
    <w:rsid w:val="003D0C0F"/>
    <w:rsid w:val="003D1FB2"/>
    <w:rsid w:val="003D66DA"/>
    <w:rsid w:val="003D7353"/>
    <w:rsid w:val="003E1310"/>
    <w:rsid w:val="003E6F55"/>
    <w:rsid w:val="003E734F"/>
    <w:rsid w:val="00401729"/>
    <w:rsid w:val="00402F07"/>
    <w:rsid w:val="00406254"/>
    <w:rsid w:val="004223DE"/>
    <w:rsid w:val="00425C58"/>
    <w:rsid w:val="00434489"/>
    <w:rsid w:val="00437085"/>
    <w:rsid w:val="00443880"/>
    <w:rsid w:val="004464F4"/>
    <w:rsid w:val="00471401"/>
    <w:rsid w:val="00473F31"/>
    <w:rsid w:val="0048263A"/>
    <w:rsid w:val="00487E5D"/>
    <w:rsid w:val="004908DE"/>
    <w:rsid w:val="0049502B"/>
    <w:rsid w:val="004A711F"/>
    <w:rsid w:val="004B199D"/>
    <w:rsid w:val="004B4690"/>
    <w:rsid w:val="004D000D"/>
    <w:rsid w:val="004D65F7"/>
    <w:rsid w:val="004E0A2D"/>
    <w:rsid w:val="004E206B"/>
    <w:rsid w:val="004E6DF7"/>
    <w:rsid w:val="004F0FBD"/>
    <w:rsid w:val="00505A47"/>
    <w:rsid w:val="00512FDA"/>
    <w:rsid w:val="0051357E"/>
    <w:rsid w:val="00520DA0"/>
    <w:rsid w:val="005664BB"/>
    <w:rsid w:val="00566FFA"/>
    <w:rsid w:val="0057481D"/>
    <w:rsid w:val="00575F0A"/>
    <w:rsid w:val="0058486E"/>
    <w:rsid w:val="00585B33"/>
    <w:rsid w:val="0059014D"/>
    <w:rsid w:val="005B5C64"/>
    <w:rsid w:val="005C5337"/>
    <w:rsid w:val="005C6BD0"/>
    <w:rsid w:val="005D1C8B"/>
    <w:rsid w:val="005D468D"/>
    <w:rsid w:val="005D5CED"/>
    <w:rsid w:val="005E18B3"/>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1773"/>
    <w:rsid w:val="0066343B"/>
    <w:rsid w:val="00664777"/>
    <w:rsid w:val="006748A4"/>
    <w:rsid w:val="00681A31"/>
    <w:rsid w:val="00683E73"/>
    <w:rsid w:val="00686074"/>
    <w:rsid w:val="006973A5"/>
    <w:rsid w:val="006A3141"/>
    <w:rsid w:val="006A5E34"/>
    <w:rsid w:val="006B2422"/>
    <w:rsid w:val="006B2B9A"/>
    <w:rsid w:val="006C1937"/>
    <w:rsid w:val="006D5F67"/>
    <w:rsid w:val="006E50B7"/>
    <w:rsid w:val="006F020C"/>
    <w:rsid w:val="007032AB"/>
    <w:rsid w:val="007127B7"/>
    <w:rsid w:val="0071798E"/>
    <w:rsid w:val="007416B6"/>
    <w:rsid w:val="00746F48"/>
    <w:rsid w:val="0075404D"/>
    <w:rsid w:val="00754626"/>
    <w:rsid w:val="0076182A"/>
    <w:rsid w:val="00767A2A"/>
    <w:rsid w:val="00767B7E"/>
    <w:rsid w:val="00773B80"/>
    <w:rsid w:val="007770C3"/>
    <w:rsid w:val="00784D24"/>
    <w:rsid w:val="00785FBA"/>
    <w:rsid w:val="00786E4A"/>
    <w:rsid w:val="007875EB"/>
    <w:rsid w:val="0079426B"/>
    <w:rsid w:val="00796A6F"/>
    <w:rsid w:val="007B54B1"/>
    <w:rsid w:val="007D1682"/>
    <w:rsid w:val="007D312A"/>
    <w:rsid w:val="007D3F19"/>
    <w:rsid w:val="007E1B94"/>
    <w:rsid w:val="007E23B0"/>
    <w:rsid w:val="007E23E5"/>
    <w:rsid w:val="007E3DDF"/>
    <w:rsid w:val="007F1991"/>
    <w:rsid w:val="007F2C2F"/>
    <w:rsid w:val="007F55FC"/>
    <w:rsid w:val="007F5665"/>
    <w:rsid w:val="00800112"/>
    <w:rsid w:val="00804C60"/>
    <w:rsid w:val="00805974"/>
    <w:rsid w:val="0081005E"/>
    <w:rsid w:val="00810E0E"/>
    <w:rsid w:val="00812830"/>
    <w:rsid w:val="00813348"/>
    <w:rsid w:val="008179C1"/>
    <w:rsid w:val="008253BB"/>
    <w:rsid w:val="008340E1"/>
    <w:rsid w:val="0083706E"/>
    <w:rsid w:val="008408F6"/>
    <w:rsid w:val="008423A5"/>
    <w:rsid w:val="00850625"/>
    <w:rsid w:val="00853718"/>
    <w:rsid w:val="00855221"/>
    <w:rsid w:val="00860645"/>
    <w:rsid w:val="00871D42"/>
    <w:rsid w:val="00871F71"/>
    <w:rsid w:val="00872FD8"/>
    <w:rsid w:val="00885AF4"/>
    <w:rsid w:val="008939CD"/>
    <w:rsid w:val="008A3C3A"/>
    <w:rsid w:val="008B768C"/>
    <w:rsid w:val="008C46F8"/>
    <w:rsid w:val="008C4DB1"/>
    <w:rsid w:val="008C4EAF"/>
    <w:rsid w:val="008C5176"/>
    <w:rsid w:val="008C7FD0"/>
    <w:rsid w:val="008D1A35"/>
    <w:rsid w:val="008D1F1D"/>
    <w:rsid w:val="008D2780"/>
    <w:rsid w:val="008E1DE7"/>
    <w:rsid w:val="008E707C"/>
    <w:rsid w:val="008F1845"/>
    <w:rsid w:val="00900B08"/>
    <w:rsid w:val="00902155"/>
    <w:rsid w:val="00902FA3"/>
    <w:rsid w:val="00910434"/>
    <w:rsid w:val="00923564"/>
    <w:rsid w:val="0092392E"/>
    <w:rsid w:val="0093068E"/>
    <w:rsid w:val="009315F9"/>
    <w:rsid w:val="00933499"/>
    <w:rsid w:val="009352D5"/>
    <w:rsid w:val="00935C98"/>
    <w:rsid w:val="00946945"/>
    <w:rsid w:val="00951248"/>
    <w:rsid w:val="0095152F"/>
    <w:rsid w:val="00954C49"/>
    <w:rsid w:val="00955E37"/>
    <w:rsid w:val="0097099F"/>
    <w:rsid w:val="00971997"/>
    <w:rsid w:val="00971FFC"/>
    <w:rsid w:val="0098660A"/>
    <w:rsid w:val="009931C3"/>
    <w:rsid w:val="009A4D46"/>
    <w:rsid w:val="009B2C43"/>
    <w:rsid w:val="009B4EAE"/>
    <w:rsid w:val="009B7573"/>
    <w:rsid w:val="009C22F4"/>
    <w:rsid w:val="009C2644"/>
    <w:rsid w:val="009C2A4B"/>
    <w:rsid w:val="009C2E98"/>
    <w:rsid w:val="009D3447"/>
    <w:rsid w:val="009D4711"/>
    <w:rsid w:val="009E7B25"/>
    <w:rsid w:val="009F1185"/>
    <w:rsid w:val="009F18CD"/>
    <w:rsid w:val="009F2A13"/>
    <w:rsid w:val="009F7527"/>
    <w:rsid w:val="00A04EB0"/>
    <w:rsid w:val="00A13CC1"/>
    <w:rsid w:val="00A16847"/>
    <w:rsid w:val="00A237D8"/>
    <w:rsid w:val="00A268C4"/>
    <w:rsid w:val="00A307CD"/>
    <w:rsid w:val="00A322CE"/>
    <w:rsid w:val="00A331C8"/>
    <w:rsid w:val="00A40A00"/>
    <w:rsid w:val="00A4142F"/>
    <w:rsid w:val="00A422EB"/>
    <w:rsid w:val="00A43AB5"/>
    <w:rsid w:val="00A45BB7"/>
    <w:rsid w:val="00A4743B"/>
    <w:rsid w:val="00A56DF2"/>
    <w:rsid w:val="00A56E6E"/>
    <w:rsid w:val="00A663FE"/>
    <w:rsid w:val="00A67AB5"/>
    <w:rsid w:val="00A733B2"/>
    <w:rsid w:val="00A741C2"/>
    <w:rsid w:val="00A753C8"/>
    <w:rsid w:val="00A91760"/>
    <w:rsid w:val="00A93B00"/>
    <w:rsid w:val="00A93C21"/>
    <w:rsid w:val="00A95586"/>
    <w:rsid w:val="00AB164E"/>
    <w:rsid w:val="00AB64C9"/>
    <w:rsid w:val="00AC3527"/>
    <w:rsid w:val="00AC3C6A"/>
    <w:rsid w:val="00AD5620"/>
    <w:rsid w:val="00AD656B"/>
    <w:rsid w:val="00AD7C1B"/>
    <w:rsid w:val="00AE16BA"/>
    <w:rsid w:val="00AE1EBE"/>
    <w:rsid w:val="00B03C9D"/>
    <w:rsid w:val="00B060AE"/>
    <w:rsid w:val="00B10517"/>
    <w:rsid w:val="00B14E76"/>
    <w:rsid w:val="00B161B8"/>
    <w:rsid w:val="00B164AA"/>
    <w:rsid w:val="00B2048C"/>
    <w:rsid w:val="00B310B9"/>
    <w:rsid w:val="00B35F3F"/>
    <w:rsid w:val="00B36CBB"/>
    <w:rsid w:val="00B425E0"/>
    <w:rsid w:val="00B440AA"/>
    <w:rsid w:val="00B44B70"/>
    <w:rsid w:val="00B47229"/>
    <w:rsid w:val="00B53C56"/>
    <w:rsid w:val="00B57DAF"/>
    <w:rsid w:val="00B771F0"/>
    <w:rsid w:val="00B77EA6"/>
    <w:rsid w:val="00B81598"/>
    <w:rsid w:val="00B841F1"/>
    <w:rsid w:val="00B86DC6"/>
    <w:rsid w:val="00B944D6"/>
    <w:rsid w:val="00B9576E"/>
    <w:rsid w:val="00BB1D0D"/>
    <w:rsid w:val="00BB4DF0"/>
    <w:rsid w:val="00BC289F"/>
    <w:rsid w:val="00BC2D50"/>
    <w:rsid w:val="00BC5361"/>
    <w:rsid w:val="00BC5460"/>
    <w:rsid w:val="00BC6B50"/>
    <w:rsid w:val="00BD0E25"/>
    <w:rsid w:val="00BE2574"/>
    <w:rsid w:val="00BF5BD6"/>
    <w:rsid w:val="00C03E31"/>
    <w:rsid w:val="00C33E72"/>
    <w:rsid w:val="00C354B2"/>
    <w:rsid w:val="00C35554"/>
    <w:rsid w:val="00C42709"/>
    <w:rsid w:val="00C533CC"/>
    <w:rsid w:val="00C5751C"/>
    <w:rsid w:val="00C61BFC"/>
    <w:rsid w:val="00C62B85"/>
    <w:rsid w:val="00C65438"/>
    <w:rsid w:val="00C71207"/>
    <w:rsid w:val="00C84C96"/>
    <w:rsid w:val="00C87FD8"/>
    <w:rsid w:val="00C91381"/>
    <w:rsid w:val="00C91CBB"/>
    <w:rsid w:val="00CA7CA6"/>
    <w:rsid w:val="00CB3972"/>
    <w:rsid w:val="00CB4E70"/>
    <w:rsid w:val="00CC09B6"/>
    <w:rsid w:val="00CC666F"/>
    <w:rsid w:val="00CD1E3F"/>
    <w:rsid w:val="00CE449D"/>
    <w:rsid w:val="00CE44F6"/>
    <w:rsid w:val="00CE49DA"/>
    <w:rsid w:val="00CE7B61"/>
    <w:rsid w:val="00CF6D60"/>
    <w:rsid w:val="00CF75DB"/>
    <w:rsid w:val="00D00095"/>
    <w:rsid w:val="00D114F0"/>
    <w:rsid w:val="00D20620"/>
    <w:rsid w:val="00D254F7"/>
    <w:rsid w:val="00D26091"/>
    <w:rsid w:val="00D2685C"/>
    <w:rsid w:val="00D34E7C"/>
    <w:rsid w:val="00D35489"/>
    <w:rsid w:val="00D36AFE"/>
    <w:rsid w:val="00D51276"/>
    <w:rsid w:val="00D60ED7"/>
    <w:rsid w:val="00D67482"/>
    <w:rsid w:val="00D7035F"/>
    <w:rsid w:val="00D7618D"/>
    <w:rsid w:val="00D827A8"/>
    <w:rsid w:val="00D92E80"/>
    <w:rsid w:val="00DA589E"/>
    <w:rsid w:val="00DA634F"/>
    <w:rsid w:val="00DA65AC"/>
    <w:rsid w:val="00DB1913"/>
    <w:rsid w:val="00DC410D"/>
    <w:rsid w:val="00DC5A81"/>
    <w:rsid w:val="00DC68CA"/>
    <w:rsid w:val="00DC7CBA"/>
    <w:rsid w:val="00DD58B8"/>
    <w:rsid w:val="00DD73B7"/>
    <w:rsid w:val="00DF28BC"/>
    <w:rsid w:val="00DF2BBE"/>
    <w:rsid w:val="00DF34B9"/>
    <w:rsid w:val="00E01053"/>
    <w:rsid w:val="00E07ACF"/>
    <w:rsid w:val="00E27993"/>
    <w:rsid w:val="00E331A1"/>
    <w:rsid w:val="00E33202"/>
    <w:rsid w:val="00E336A9"/>
    <w:rsid w:val="00E472B1"/>
    <w:rsid w:val="00E50624"/>
    <w:rsid w:val="00E54633"/>
    <w:rsid w:val="00E568DF"/>
    <w:rsid w:val="00E64269"/>
    <w:rsid w:val="00E82267"/>
    <w:rsid w:val="00E853CE"/>
    <w:rsid w:val="00E867B6"/>
    <w:rsid w:val="00EA010F"/>
    <w:rsid w:val="00EA4711"/>
    <w:rsid w:val="00ED1B63"/>
    <w:rsid w:val="00ED3C1F"/>
    <w:rsid w:val="00ED4085"/>
    <w:rsid w:val="00ED420E"/>
    <w:rsid w:val="00ED6FBE"/>
    <w:rsid w:val="00EE1BBC"/>
    <w:rsid w:val="00EE2F57"/>
    <w:rsid w:val="00EF4C34"/>
    <w:rsid w:val="00EF77C6"/>
    <w:rsid w:val="00F05438"/>
    <w:rsid w:val="00F12A3B"/>
    <w:rsid w:val="00F1361C"/>
    <w:rsid w:val="00F156F0"/>
    <w:rsid w:val="00F160C7"/>
    <w:rsid w:val="00F2408F"/>
    <w:rsid w:val="00F240E9"/>
    <w:rsid w:val="00F36D8F"/>
    <w:rsid w:val="00F417B1"/>
    <w:rsid w:val="00F45853"/>
    <w:rsid w:val="00F46B0C"/>
    <w:rsid w:val="00F602DF"/>
    <w:rsid w:val="00F754A1"/>
    <w:rsid w:val="00F81FD9"/>
    <w:rsid w:val="00F841AA"/>
    <w:rsid w:val="00F84A3C"/>
    <w:rsid w:val="00F84A94"/>
    <w:rsid w:val="00F87E96"/>
    <w:rsid w:val="00FA23E8"/>
    <w:rsid w:val="00FA27B5"/>
    <w:rsid w:val="00FA399F"/>
    <w:rsid w:val="00FA6AFE"/>
    <w:rsid w:val="00FB0829"/>
    <w:rsid w:val="00FB20EB"/>
    <w:rsid w:val="00FB5205"/>
    <w:rsid w:val="00FD3CC1"/>
    <w:rsid w:val="00FD6BA5"/>
    <w:rsid w:val="00FE094E"/>
    <w:rsid w:val="00FE29AD"/>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6FB4A8C"/>
    <w:rsid w:val="281408E2"/>
    <w:rsid w:val="29FD04D3"/>
    <w:rsid w:val="2BFF7BC6"/>
    <w:rsid w:val="2C8A61B5"/>
    <w:rsid w:val="2DF04E50"/>
    <w:rsid w:val="2E586DFA"/>
    <w:rsid w:val="2EF16280"/>
    <w:rsid w:val="2F040D46"/>
    <w:rsid w:val="2F6B035B"/>
    <w:rsid w:val="2FAE5751"/>
    <w:rsid w:val="2FB1A395"/>
    <w:rsid w:val="2FD9A7D8"/>
    <w:rsid w:val="2FDBF714"/>
    <w:rsid w:val="2FFF811A"/>
    <w:rsid w:val="30AB6865"/>
    <w:rsid w:val="319F7F4E"/>
    <w:rsid w:val="32BD1EF1"/>
    <w:rsid w:val="3304709D"/>
    <w:rsid w:val="33A773CB"/>
    <w:rsid w:val="349D6851"/>
    <w:rsid w:val="36AA5135"/>
    <w:rsid w:val="36BE0DA7"/>
    <w:rsid w:val="36FFDA94"/>
    <w:rsid w:val="376B6AA6"/>
    <w:rsid w:val="376D39B2"/>
    <w:rsid w:val="37E16F03"/>
    <w:rsid w:val="37F53A3B"/>
    <w:rsid w:val="37FCE0FC"/>
    <w:rsid w:val="389B6C89"/>
    <w:rsid w:val="38D469F0"/>
    <w:rsid w:val="39627CCD"/>
    <w:rsid w:val="397BAF1F"/>
    <w:rsid w:val="3A9694BA"/>
    <w:rsid w:val="3AB79AF3"/>
    <w:rsid w:val="3AE834C0"/>
    <w:rsid w:val="3AF69BAD"/>
    <w:rsid w:val="3B7EF35A"/>
    <w:rsid w:val="3B9FDB6C"/>
    <w:rsid w:val="3BF5BC2F"/>
    <w:rsid w:val="3CEBA265"/>
    <w:rsid w:val="3D365C5A"/>
    <w:rsid w:val="3D98207C"/>
    <w:rsid w:val="3DEE7CF3"/>
    <w:rsid w:val="3E740A63"/>
    <w:rsid w:val="3E78745D"/>
    <w:rsid w:val="3EE17838"/>
    <w:rsid w:val="3F55381A"/>
    <w:rsid w:val="3F7F7599"/>
    <w:rsid w:val="3F9E941D"/>
    <w:rsid w:val="3FAF3827"/>
    <w:rsid w:val="3FDFA87A"/>
    <w:rsid w:val="3FF4CAE0"/>
    <w:rsid w:val="3FF7B227"/>
    <w:rsid w:val="3FFFEFCD"/>
    <w:rsid w:val="44E268DA"/>
    <w:rsid w:val="450D13D7"/>
    <w:rsid w:val="45506656"/>
    <w:rsid w:val="47AD6ACC"/>
    <w:rsid w:val="486A6C7A"/>
    <w:rsid w:val="4A627F82"/>
    <w:rsid w:val="4B0E749A"/>
    <w:rsid w:val="4B2477C4"/>
    <w:rsid w:val="4B4F25DA"/>
    <w:rsid w:val="4BE068DB"/>
    <w:rsid w:val="4D577224"/>
    <w:rsid w:val="4DBF1CEB"/>
    <w:rsid w:val="4DF0007C"/>
    <w:rsid w:val="4EAB630A"/>
    <w:rsid w:val="4ECE2238"/>
    <w:rsid w:val="4F4FC80D"/>
    <w:rsid w:val="4F833267"/>
    <w:rsid w:val="4FD96509"/>
    <w:rsid w:val="4FE9BD67"/>
    <w:rsid w:val="4FFB052F"/>
    <w:rsid w:val="537E6D0A"/>
    <w:rsid w:val="53F6F288"/>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EFD0E4B"/>
    <w:rsid w:val="5EFFC6D6"/>
    <w:rsid w:val="5FBF9FF3"/>
    <w:rsid w:val="5FCD4E2C"/>
    <w:rsid w:val="5FEF394A"/>
    <w:rsid w:val="5FF67715"/>
    <w:rsid w:val="62BF3928"/>
    <w:rsid w:val="63B3701E"/>
    <w:rsid w:val="63DCAAC7"/>
    <w:rsid w:val="647F5392"/>
    <w:rsid w:val="65B5D2F9"/>
    <w:rsid w:val="65E66580"/>
    <w:rsid w:val="664B1D71"/>
    <w:rsid w:val="664B4E8E"/>
    <w:rsid w:val="66E7AA02"/>
    <w:rsid w:val="67277B67"/>
    <w:rsid w:val="67AA3209"/>
    <w:rsid w:val="698D0931"/>
    <w:rsid w:val="6A7FE5F3"/>
    <w:rsid w:val="6B053271"/>
    <w:rsid w:val="6BDD78B3"/>
    <w:rsid w:val="6C4A05C8"/>
    <w:rsid w:val="6C8742B8"/>
    <w:rsid w:val="6DBF5E93"/>
    <w:rsid w:val="6DFF077E"/>
    <w:rsid w:val="6DFF7DC5"/>
    <w:rsid w:val="6E714EF0"/>
    <w:rsid w:val="6E7E3605"/>
    <w:rsid w:val="6E7FDCC7"/>
    <w:rsid w:val="6ED6A62E"/>
    <w:rsid w:val="6EE00B15"/>
    <w:rsid w:val="6F6FB3EB"/>
    <w:rsid w:val="6F8731EA"/>
    <w:rsid w:val="6FCE6052"/>
    <w:rsid w:val="6FD57C00"/>
    <w:rsid w:val="6FEFFFD8"/>
    <w:rsid w:val="6FF5CC65"/>
    <w:rsid w:val="6FFB47EC"/>
    <w:rsid w:val="6FFF034A"/>
    <w:rsid w:val="703F56E6"/>
    <w:rsid w:val="70484440"/>
    <w:rsid w:val="712A28F1"/>
    <w:rsid w:val="715C0E4B"/>
    <w:rsid w:val="71992E7C"/>
    <w:rsid w:val="72233669"/>
    <w:rsid w:val="72734D90"/>
    <w:rsid w:val="73160E6D"/>
    <w:rsid w:val="7332FE48"/>
    <w:rsid w:val="73AB61DA"/>
    <w:rsid w:val="73AD73D5"/>
    <w:rsid w:val="73B6EB34"/>
    <w:rsid w:val="73FA497D"/>
    <w:rsid w:val="744731E5"/>
    <w:rsid w:val="74B3D0DB"/>
    <w:rsid w:val="74BBD01D"/>
    <w:rsid w:val="74ED5379"/>
    <w:rsid w:val="75DEEEC2"/>
    <w:rsid w:val="75E32345"/>
    <w:rsid w:val="76E3355F"/>
    <w:rsid w:val="76FF5125"/>
    <w:rsid w:val="776F6FFA"/>
    <w:rsid w:val="778769C8"/>
    <w:rsid w:val="77A75DCA"/>
    <w:rsid w:val="77DC22F5"/>
    <w:rsid w:val="77DF1459"/>
    <w:rsid w:val="77F5CC4A"/>
    <w:rsid w:val="783E271A"/>
    <w:rsid w:val="78616DE9"/>
    <w:rsid w:val="78E875D7"/>
    <w:rsid w:val="79086DAD"/>
    <w:rsid w:val="79AE4BF3"/>
    <w:rsid w:val="79D7FD79"/>
    <w:rsid w:val="79EE5BA4"/>
    <w:rsid w:val="7A894339"/>
    <w:rsid w:val="7AD284E8"/>
    <w:rsid w:val="7AFF7572"/>
    <w:rsid w:val="7B6C7DFB"/>
    <w:rsid w:val="7BBFBED0"/>
    <w:rsid w:val="7BC3E394"/>
    <w:rsid w:val="7BFEC23F"/>
    <w:rsid w:val="7C1F3737"/>
    <w:rsid w:val="7CBFC87B"/>
    <w:rsid w:val="7CFE0F48"/>
    <w:rsid w:val="7D272ABC"/>
    <w:rsid w:val="7D7EC23E"/>
    <w:rsid w:val="7DEF8DFC"/>
    <w:rsid w:val="7DF17FC5"/>
    <w:rsid w:val="7DFFAA70"/>
    <w:rsid w:val="7E8ADEBF"/>
    <w:rsid w:val="7EEF11D3"/>
    <w:rsid w:val="7EFE4840"/>
    <w:rsid w:val="7F0971A6"/>
    <w:rsid w:val="7F1D62E7"/>
    <w:rsid w:val="7F3F679B"/>
    <w:rsid w:val="7F4FC4EF"/>
    <w:rsid w:val="7F5E4D54"/>
    <w:rsid w:val="7F676928"/>
    <w:rsid w:val="7F6E0135"/>
    <w:rsid w:val="7F79F205"/>
    <w:rsid w:val="7FA30C79"/>
    <w:rsid w:val="7FA79C44"/>
    <w:rsid w:val="7FAF8ABF"/>
    <w:rsid w:val="7FB7269E"/>
    <w:rsid w:val="7FB9915B"/>
    <w:rsid w:val="7FC96657"/>
    <w:rsid w:val="7FD37D3F"/>
    <w:rsid w:val="7FDA9588"/>
    <w:rsid w:val="7FDF220F"/>
    <w:rsid w:val="7FE62741"/>
    <w:rsid w:val="7FE763D6"/>
    <w:rsid w:val="7FEB9383"/>
    <w:rsid w:val="7FEDC5F7"/>
    <w:rsid w:val="7FEDD9DE"/>
    <w:rsid w:val="7FF5890D"/>
    <w:rsid w:val="7FF93490"/>
    <w:rsid w:val="8B3B903C"/>
    <w:rsid w:val="97FE8578"/>
    <w:rsid w:val="99FF2014"/>
    <w:rsid w:val="9F7BECAF"/>
    <w:rsid w:val="9FD78E50"/>
    <w:rsid w:val="A5FE7689"/>
    <w:rsid w:val="A6DD0D7F"/>
    <w:rsid w:val="ABB67161"/>
    <w:rsid w:val="ACFF4FBB"/>
    <w:rsid w:val="ADC6F725"/>
    <w:rsid w:val="AED7AF93"/>
    <w:rsid w:val="AF3D6FD9"/>
    <w:rsid w:val="AFFF2686"/>
    <w:rsid w:val="AFFFC392"/>
    <w:rsid w:val="B7CF06AB"/>
    <w:rsid w:val="B7CFA926"/>
    <w:rsid w:val="B7F8786B"/>
    <w:rsid w:val="BABB6AA1"/>
    <w:rsid w:val="BB2F4199"/>
    <w:rsid w:val="BB7F1993"/>
    <w:rsid w:val="BCFFB442"/>
    <w:rsid w:val="BD079C78"/>
    <w:rsid w:val="BD733540"/>
    <w:rsid w:val="BF3735D5"/>
    <w:rsid w:val="BF7F09AC"/>
    <w:rsid w:val="BF88DC7A"/>
    <w:rsid w:val="BFD475C3"/>
    <w:rsid w:val="BFDE5EA6"/>
    <w:rsid w:val="CBBF6679"/>
    <w:rsid w:val="CF6FC6F3"/>
    <w:rsid w:val="CFD3D3D7"/>
    <w:rsid w:val="CFDF1009"/>
    <w:rsid w:val="D7D7B16A"/>
    <w:rsid w:val="D8D6DB89"/>
    <w:rsid w:val="DB6F4CAB"/>
    <w:rsid w:val="DB777682"/>
    <w:rsid w:val="DB937BA0"/>
    <w:rsid w:val="DC7539A0"/>
    <w:rsid w:val="DD1FB521"/>
    <w:rsid w:val="DDDF187D"/>
    <w:rsid w:val="DEFBFEAE"/>
    <w:rsid w:val="DF1F3B80"/>
    <w:rsid w:val="DF6F9789"/>
    <w:rsid w:val="DFDF9644"/>
    <w:rsid w:val="DFE9BE81"/>
    <w:rsid w:val="DFF3C49F"/>
    <w:rsid w:val="DFFF474E"/>
    <w:rsid w:val="DFFFA9E8"/>
    <w:rsid w:val="E3EF897B"/>
    <w:rsid w:val="E5F4E9DC"/>
    <w:rsid w:val="E6ED6CD3"/>
    <w:rsid w:val="E70FE695"/>
    <w:rsid w:val="EB2E368B"/>
    <w:rsid w:val="EBEE791B"/>
    <w:rsid w:val="EBFF8CD0"/>
    <w:rsid w:val="ECFED1BC"/>
    <w:rsid w:val="ED1D69BB"/>
    <w:rsid w:val="ED7FD312"/>
    <w:rsid w:val="EEDFFE3F"/>
    <w:rsid w:val="EF2E1AC6"/>
    <w:rsid w:val="EF45D34E"/>
    <w:rsid w:val="EF53993F"/>
    <w:rsid w:val="EF6FD633"/>
    <w:rsid w:val="EFBFB2F4"/>
    <w:rsid w:val="EFBFFA21"/>
    <w:rsid w:val="EFED3C09"/>
    <w:rsid w:val="EFEF5D47"/>
    <w:rsid w:val="EFF7E596"/>
    <w:rsid w:val="EFFB3867"/>
    <w:rsid w:val="F27DBA6F"/>
    <w:rsid w:val="F2BEBCB8"/>
    <w:rsid w:val="F36FB518"/>
    <w:rsid w:val="F3DE1A04"/>
    <w:rsid w:val="F3F722E5"/>
    <w:rsid w:val="F4CFF437"/>
    <w:rsid w:val="F4FB1578"/>
    <w:rsid w:val="F4FBCD07"/>
    <w:rsid w:val="F5E26394"/>
    <w:rsid w:val="F6B3CC02"/>
    <w:rsid w:val="F6FDED2C"/>
    <w:rsid w:val="F7DDB286"/>
    <w:rsid w:val="F97FB854"/>
    <w:rsid w:val="FA5F1E70"/>
    <w:rsid w:val="FA5FDB97"/>
    <w:rsid w:val="FA7B2C4D"/>
    <w:rsid w:val="FB6995FD"/>
    <w:rsid w:val="FB7F486A"/>
    <w:rsid w:val="FB9F0B5C"/>
    <w:rsid w:val="FBB997DA"/>
    <w:rsid w:val="FBFF5B2E"/>
    <w:rsid w:val="FD7FFE2B"/>
    <w:rsid w:val="FDBE4A1A"/>
    <w:rsid w:val="FDEE196B"/>
    <w:rsid w:val="FDF7D4CB"/>
    <w:rsid w:val="FDFCEEB2"/>
    <w:rsid w:val="FDFE6575"/>
    <w:rsid w:val="FDFF9486"/>
    <w:rsid w:val="FDFFE1D7"/>
    <w:rsid w:val="FE8CDCD5"/>
    <w:rsid w:val="FEDF7393"/>
    <w:rsid w:val="FEDFDDC2"/>
    <w:rsid w:val="FEED32F6"/>
    <w:rsid w:val="FEEF6383"/>
    <w:rsid w:val="FEF781DD"/>
    <w:rsid w:val="FF0F5E7A"/>
    <w:rsid w:val="FF3F7E3F"/>
    <w:rsid w:val="FF77308A"/>
    <w:rsid w:val="FF7B93B9"/>
    <w:rsid w:val="FFA696C8"/>
    <w:rsid w:val="FFBA12D7"/>
    <w:rsid w:val="FFCBD314"/>
    <w:rsid w:val="FFDDE640"/>
    <w:rsid w:val="FFDE31FB"/>
    <w:rsid w:val="FFDFF91C"/>
    <w:rsid w:val="FFDFFAEE"/>
    <w:rsid w:val="FFEF6777"/>
    <w:rsid w:val="FFF9B57B"/>
    <w:rsid w:val="FFFD61D9"/>
    <w:rsid w:val="FFFD8F59"/>
    <w:rsid w:val="FFFF2BB1"/>
    <w:rsid w:val="FFFF6687"/>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3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39"/>
    <w:qFormat/>
    <w:uiPriority w:val="99"/>
    <w:pPr>
      <w:widowControl/>
      <w:ind w:firstLine="200" w:firstLineChars="200"/>
    </w:pPr>
    <w:rPr>
      <w:rFonts w:eastAsia="仿宋_GB2312" w:cs="宋体"/>
      <w:color w:val="000000"/>
      <w:sz w:val="32"/>
      <w:szCs w:val="32"/>
    </w:rPr>
  </w:style>
  <w:style w:type="paragraph" w:styleId="7">
    <w:name w:val="Body Text"/>
    <w:basedOn w:val="1"/>
    <w:link w:val="27"/>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7"/>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3"/>
    <w:qFormat/>
    <w:uiPriority w:val="9"/>
    <w:rPr>
      <w:rFonts w:ascii="Times New Roman" w:hAnsi="Times New Roman"/>
      <w:b/>
      <w:bCs/>
      <w:kern w:val="44"/>
      <w:sz w:val="44"/>
      <w:szCs w:val="44"/>
    </w:rPr>
  </w:style>
  <w:style w:type="character" w:customStyle="1" w:styleId="31">
    <w:name w:val="标题 2 Char"/>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1"/>
    <w:semiHidden/>
    <w:qFormat/>
    <w:uiPriority w:val="99"/>
    <w:rPr>
      <w:rFonts w:ascii="Times New Roman" w:hAnsi="Times New Roman"/>
      <w:kern w:val="2"/>
      <w:sz w:val="18"/>
      <w:szCs w:val="18"/>
    </w:rPr>
  </w:style>
  <w:style w:type="character" w:customStyle="1" w:styleId="34">
    <w:name w:val="标题 3 Char"/>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8">
    <w:name w:val="标题 4 Char"/>
    <w:basedOn w:val="18"/>
    <w:link w:val="6"/>
    <w:qFormat/>
    <w:uiPriority w:val="9"/>
    <w:rPr>
      <w:rFonts w:asciiTheme="majorHAnsi" w:hAnsiTheme="majorHAnsi" w:eastAsiaTheme="majorEastAsia" w:cstheme="majorBidi"/>
      <w:b/>
      <w:bCs/>
      <w:kern w:val="2"/>
      <w:sz w:val="28"/>
      <w:szCs w:val="28"/>
    </w:rPr>
  </w:style>
  <w:style w:type="character" w:customStyle="1" w:styleId="39">
    <w:name w:val="称呼 Char"/>
    <w:basedOn w:val="18"/>
    <w:link w:val="2"/>
    <w:qFormat/>
    <w:uiPriority w:val="99"/>
    <w:rPr>
      <w:rFonts w:ascii="Times New Roman" w:hAnsi="Times New Roman" w:eastAsia="仿宋_GB2312" w:cs="宋体"/>
      <w:color w:val="000000"/>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7.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kk\Desktop\&#36130;&#21153;&#24037;&#20316;\2024&#24180;\2024&#24180;&#20915;&#31639;&#20844;&#24320;\2024&#24180;&#39044;&#31639;&#20844;&#24320;&#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66527777777778"/>
          <c:y val="0.0208333333333333"/>
        </c:manualLayout>
      </c:layout>
      <c:overlay val="false"/>
      <c:spPr>
        <a:noFill/>
        <a:ln>
          <a:noFill/>
        </a:ln>
        <a:effectLst/>
      </c:spPr>
    </c:title>
    <c:autoTitleDeleted val="false"/>
    <c:plotArea>
      <c:layout/>
      <c:barChart>
        <c:barDir val="col"/>
        <c:grouping val="clustered"/>
        <c:varyColors val="false"/>
        <c:ser>
          <c:idx val="0"/>
          <c:order val="0"/>
          <c:tx>
            <c:strRef>
              <c:f>收、支决算总计变动情况图!$A$2</c:f>
              <c:strCache>
                <c:ptCount val="1"/>
                <c:pt idx="0">
                  <c:v>2024年</c:v>
                </c:pt>
              </c:strCache>
            </c:strRef>
          </c:tx>
          <c:spPr>
            <a:solidFill>
              <a:schemeClr val="accent1"/>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收、支决算总计变动情况图!$B$1:$C$1</c:f>
              <c:strCache>
                <c:ptCount val="2"/>
                <c:pt idx="0">
                  <c:v>全年收入总计</c:v>
                </c:pt>
                <c:pt idx="1">
                  <c:v>全年支出总计</c:v>
                </c:pt>
              </c:strCache>
            </c:strRef>
          </c:cat>
          <c:val>
            <c:numRef>
              <c:f>收、支决算总计变动情况图!$B$2:$C$2</c:f>
              <c:numCache>
                <c:formatCode>General</c:formatCode>
                <c:ptCount val="2"/>
                <c:pt idx="0">
                  <c:v>1543.49</c:v>
                </c:pt>
                <c:pt idx="1">
                  <c:v>1543.49</c:v>
                </c:pt>
              </c:numCache>
            </c:numRef>
          </c:val>
        </c:ser>
        <c:ser>
          <c:idx val="1"/>
          <c:order val="1"/>
          <c:tx>
            <c:strRef>
              <c:f>收、支决算总计变动情况图!$A$3</c:f>
              <c:strCache>
                <c:ptCount val="1"/>
                <c:pt idx="0">
                  <c:v>2025年</c:v>
                </c:pt>
              </c:strCache>
            </c:strRef>
          </c:tx>
          <c:spPr>
            <a:solidFill>
              <a:schemeClr val="accent2"/>
            </a:solidFill>
            <a:ln>
              <a:noFill/>
            </a:ln>
            <a:effectLst/>
          </c:spPr>
          <c:invertIfNegative val="false"/>
          <c:dLbls>
            <c:spPr>
              <a:noFill/>
              <a:ln>
                <a:noFill/>
              </a:ln>
              <a:effectLst/>
            </c:spPr>
            <c:txPr>
              <a:bodyPr rot="0" spcFirstLastPara="0" vertOverflow="ellipsis" vert="horz" wrap="square" lIns="38100" tIns="19050" rIns="38100" bIns="19050" anchor="ctr" anchorCtr="true"/>
              <a:lstStyle/>
              <a:p>
                <a:pPr algn="ct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收、支决算总计变动情况图!$B$1:$C$1</c:f>
              <c:strCache>
                <c:ptCount val="2"/>
                <c:pt idx="0">
                  <c:v>全年收入总计</c:v>
                </c:pt>
                <c:pt idx="1">
                  <c:v>全年支出总计</c:v>
                </c:pt>
              </c:strCache>
            </c:strRef>
          </c:cat>
          <c:val>
            <c:numRef>
              <c:f>收、支决算总计变动情况图!$B$3:$C$3</c:f>
              <c:numCache>
                <c:formatCode>General</c:formatCode>
                <c:ptCount val="2"/>
                <c:pt idx="0">
                  <c:v>1485.49</c:v>
                </c:pt>
                <c:pt idx="1">
                  <c:v>1485.49</c:v>
                </c:pt>
              </c:numCache>
            </c:numRef>
          </c:val>
        </c:ser>
        <c:dLbls>
          <c:showLegendKey val="false"/>
          <c:showVal val="false"/>
          <c:showCatName val="false"/>
          <c:showSerName val="false"/>
          <c:showPercent val="false"/>
          <c:showBubbleSize val="false"/>
        </c:dLbls>
        <c:gapWidth val="219"/>
        <c:overlap val="-27"/>
        <c:axId val="231201792"/>
        <c:axId val="231238272"/>
      </c:barChart>
      <c:catAx>
        <c:axId val="231201792"/>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1238272"/>
        <c:crosses val="autoZero"/>
        <c:auto val="true"/>
        <c:lblAlgn val="ctr"/>
        <c:lblOffset val="100"/>
        <c:noMultiLvlLbl val="false"/>
      </c:catAx>
      <c:valAx>
        <c:axId val="231238272"/>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231201792"/>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prstDash val="solid"/>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收入决算结构图</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pieChart>
        <c:varyColors val="true"/>
        <c:ser>
          <c:idx val="0"/>
          <c:order val="0"/>
          <c:tx>
            <c:strRef>
              <c:f>收入决算结构图!$A$3</c:f>
              <c:strCache>
                <c:ptCount val="1"/>
                <c:pt idx="0">
                  <c:v>2025年度本年收入</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Lbl>
              <c:idx val="0"/>
              <c:layout>
                <c:manualLayout>
                  <c:x val="0.0620165148057252"/>
                  <c:y val="-0.266233178680524"/>
                </c:manualLayout>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一般公共预算财政拨款收入 </a:t>
                    </a:r>
                    <a:r>
                      <a:rPr lang="en-US" altLang="zh-CN"/>
                      <a:t>99.97%</a:t>
                    </a:r>
                    <a:endParaRPr lang="en-US" altLang="zh-CN"/>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tx>
                <c:rich>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r>
                      <a:rPr lang="zh-CN" altLang="en-US"/>
                      <a:t>其他收入</a:t>
                    </a:r>
                    <a:r>
                      <a:rPr lang="en-US" altLang="zh-CN"/>
                      <a:t>, 0.03%</a:t>
                    </a:r>
                    <a:endParaRPr lang="en-US" altLang="zh-CN"/>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false"/>
            <c:showCatName val="false"/>
            <c:showSerName val="tru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multiLvlStrRef>
              <c:f>收入决算结构图!$B$1:$C$2</c:f>
              <c:multiLvlStrCache>
                <c:ptCount val="2"/>
                <c:lvl>
                  <c:pt idx="0">
                    <c:v>1466.04</c:v>
                  </c:pt>
                  <c:pt idx="1">
                    <c:v>0.45</c:v>
                  </c:pt>
                </c:lvl>
                <c:lvl>
                  <c:pt idx="0">
                    <c:v>一般公共预算财政拨款收入</c:v>
                  </c:pt>
                  <c:pt idx="1">
                    <c:v>其他收入</c:v>
                  </c:pt>
                </c:lvl>
              </c:multiLvlStrCache>
            </c:multiLvlStrRef>
          </c:cat>
          <c:val>
            <c:numRef>
              <c:f>收入决算结构图!$B$3:$C$3</c:f>
              <c:numCache>
                <c:formatCode>General</c:formatCode>
                <c:ptCount val="2"/>
                <c:pt idx="0">
                  <c:v>1466.04</c:v>
                </c:pt>
                <c:pt idx="1">
                  <c:v>0.45</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800" b="1" i="0" u="none" strike="noStrike" kern="1200" baseline="0">
                <a:solidFill>
                  <a:schemeClr val="tx1"/>
                </a:solidFill>
                <a:latin typeface="+mn-lt"/>
                <a:ea typeface="+mn-ea"/>
                <a:cs typeface="+mn-cs"/>
              </a:defRPr>
            </a:pPr>
            <a:r>
              <a:rPr lang="zh-CN" altLang="zh-CN" sz="1800" b="0" i="0" baseline="0">
                <a:effectLst/>
              </a:rPr>
              <a:t>支出决算结构图</a:t>
            </a:r>
            <a:endParaRPr lang="zh-CN" altLang="zh-CN">
              <a:effectLst/>
            </a:endParaRPr>
          </a:p>
        </c:rich>
      </c:tx>
      <c:layout/>
      <c:overlay val="false"/>
    </c:title>
    <c:autoTitleDeleted val="false"/>
    <c:plotArea>
      <c:layout>
        <c:manualLayout>
          <c:layoutTarget val="inner"/>
          <c:xMode val="edge"/>
          <c:yMode val="edge"/>
          <c:x val="0.266963743760487"/>
          <c:y val="0.301051675989837"/>
          <c:w val="0.4296411597199"/>
          <c:h val="0.620792617356896"/>
        </c:manualLayout>
      </c:layout>
      <c:pieChart>
        <c:varyColors val="true"/>
        <c:ser>
          <c:idx val="0"/>
          <c:order val="0"/>
          <c:tx>
            <c:strRef>
              <c:f>支出决算结构图!$A$3</c:f>
              <c:strCache>
                <c:ptCount val="1"/>
                <c:pt idx="0">
                  <c:v>2025年度本年支出合计</c:v>
                </c:pt>
              </c:strCache>
            </c:strRef>
          </c:tx>
          <c:explosion val="0"/>
          <c:dPt>
            <c:idx val="0"/>
            <c:bubble3D val="false"/>
          </c:dPt>
          <c:dPt>
            <c:idx val="1"/>
            <c:bubble3D val="false"/>
          </c:dPt>
          <c:dLbls>
            <c:dLbl>
              <c:idx val="0"/>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基本支出 </a:t>
                    </a:r>
                    <a:r>
                      <a:rPr lang="en-US" altLang="zh-CN"/>
                      <a:t>
91.64%</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extLst>
            </c:dLbl>
            <c:dLbl>
              <c:idx val="1"/>
              <c:layout>
                <c:manualLayout>
                  <c:x val="0.00701892946161011"/>
                  <c:y val="0.132140566428283"/>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项目支出 </a:t>
                    </a:r>
                    <a:r>
                      <a:rPr lang="en-US" altLang="zh-CN"/>
                      <a:t>
8.36%</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multiLvlStrRef>
              <c:f>支出决算结构图!$B$1:$C$2</c:f>
              <c:multiLvlStrCache>
                <c:ptCount val="2"/>
                <c:lvl>
                  <c:pt idx="0">
                    <c:v>1361.24</c:v>
                  </c:pt>
                  <c:pt idx="1">
                    <c:v>124.14</c:v>
                  </c:pt>
                </c:lvl>
                <c:lvl>
                  <c:pt idx="0">
                    <c:v>基本支出</c:v>
                  </c:pt>
                  <c:pt idx="1">
                    <c:v>项目支出</c:v>
                  </c:pt>
                </c:lvl>
              </c:multiLvlStrCache>
            </c:multiLvlStrRef>
          </c:cat>
          <c:val>
            <c:numRef>
              <c:f>支出决算结构图!$B$3:$C$3</c:f>
              <c:numCache>
                <c:formatCode>General</c:formatCode>
                <c:ptCount val="2"/>
                <c:pt idx="0">
                  <c:v>1361.24</c:v>
                </c:pt>
                <c:pt idx="1">
                  <c:v>124.14</c:v>
                </c:pt>
              </c:numCache>
            </c:numRef>
          </c:val>
        </c:ser>
        <c:dLbls>
          <c:showLegendKey val="false"/>
          <c:showVal val="false"/>
          <c:showCatName val="false"/>
          <c:showSerName val="false"/>
          <c:showPercent val="false"/>
          <c:showBubbleSize val="false"/>
          <c:showLeaderLines val="true"/>
        </c:dLbls>
        <c:firstSliceAng val="0"/>
      </c:pieChart>
    </c:plotArea>
    <c:legend>
      <c:legendPos val="r"/>
      <c:layout>
        <c:manualLayout>
          <c:xMode val="edge"/>
          <c:yMode val="edge"/>
          <c:x val="0.139585119427639"/>
          <c:y val="0.103149255339835"/>
          <c:w val="0.686637576552931"/>
          <c:h val="0.1674343832021"/>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财政拨款收、支决算总计变动情况</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barChart>
        <c:barDir val="col"/>
        <c:grouping val="clustered"/>
        <c:varyColors val="false"/>
        <c:ser>
          <c:idx val="0"/>
          <c:order val="0"/>
          <c:tx>
            <c:strRef>
              <c:f>财政拨款收、支决算总计变动情况!$A$2</c:f>
              <c:strCache>
                <c:ptCount val="1"/>
                <c:pt idx="0">
                  <c:v>2024年</c:v>
                </c:pt>
              </c:strCache>
            </c:strRef>
          </c:tx>
          <c:spPr>
            <a:solidFill>
              <a:schemeClr val="accent1"/>
            </a:solidFill>
            <a:ln>
              <a:noFill/>
            </a:ln>
            <a:effectLst/>
          </c:spPr>
          <c:invertIfNegative val="false"/>
          <c:dLbls>
            <c:delete val="true"/>
          </c:dLbls>
          <c:cat>
            <c:strRef>
              <c:f>财政拨款收、支决算总计变动情况!$B$1:$C$1</c:f>
              <c:strCache>
                <c:ptCount val="2"/>
                <c:pt idx="0">
                  <c:v>财政拨款收入总计</c:v>
                </c:pt>
                <c:pt idx="1">
                  <c:v>财政拨款支出总计</c:v>
                </c:pt>
              </c:strCache>
            </c:strRef>
          </c:cat>
          <c:val>
            <c:numRef>
              <c:f>财政拨款收、支决算总计变动情况!$B$2:$C$2</c:f>
              <c:numCache>
                <c:formatCode>General</c:formatCode>
                <c:ptCount val="2"/>
                <c:pt idx="0">
                  <c:v>1452.27</c:v>
                </c:pt>
                <c:pt idx="1">
                  <c:v>1452.27</c:v>
                </c:pt>
              </c:numCache>
            </c:numRef>
          </c:val>
        </c:ser>
        <c:ser>
          <c:idx val="1"/>
          <c:order val="1"/>
          <c:tx>
            <c:strRef>
              <c:f>财政拨款收、支决算总计变动情况!$A$3</c:f>
              <c:strCache>
                <c:ptCount val="1"/>
                <c:pt idx="0">
                  <c:v>2025年</c:v>
                </c:pt>
              </c:strCache>
            </c:strRef>
          </c:tx>
          <c:spPr>
            <a:solidFill>
              <a:schemeClr val="accent2"/>
            </a:solidFill>
            <a:ln>
              <a:noFill/>
            </a:ln>
            <a:effectLst/>
          </c:spPr>
          <c:invertIfNegative val="false"/>
          <c:dLbls>
            <c:delete val="true"/>
          </c:dLbls>
          <c:cat>
            <c:strRef>
              <c:f>财政拨款收、支决算总计变动情况!$B$1:$C$1</c:f>
              <c:strCache>
                <c:ptCount val="2"/>
                <c:pt idx="0">
                  <c:v>财政拨款收入总计</c:v>
                </c:pt>
                <c:pt idx="1">
                  <c:v>财政拨款支出总计</c:v>
                </c:pt>
              </c:strCache>
            </c:strRef>
          </c:cat>
          <c:val>
            <c:numRef>
              <c:f>财政拨款收、支决算总计变动情况!$B$3:$C$3</c:f>
              <c:numCache>
                <c:formatCode>General</c:formatCode>
                <c:ptCount val="2"/>
                <c:pt idx="0">
                  <c:v>1466.04</c:v>
                </c:pt>
                <c:pt idx="1">
                  <c:v>1466.04</c:v>
                </c:pt>
              </c:numCache>
            </c:numRef>
          </c:val>
        </c:ser>
        <c:dLbls>
          <c:showLegendKey val="false"/>
          <c:showVal val="false"/>
          <c:showCatName val="false"/>
          <c:showSerName val="false"/>
          <c:showPercent val="false"/>
          <c:showBubbleSize val="false"/>
        </c:dLbls>
        <c:gapWidth val="150"/>
        <c:axId val="113687168"/>
        <c:axId val="113688960"/>
      </c:barChart>
      <c:catAx>
        <c:axId val="113687168"/>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3688960"/>
        <c:crosses val="autoZero"/>
        <c:auto val="true"/>
        <c:lblAlgn val="ctr"/>
        <c:lblOffset val="100"/>
        <c:noMultiLvlLbl val="false"/>
      </c:catAx>
      <c:valAx>
        <c:axId val="113688960"/>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layout>
            <c:manualLayout>
              <c:xMode val="edge"/>
              <c:yMode val="edge"/>
              <c:x val="0.0305555555555556"/>
              <c:y val="0.332777777777778"/>
            </c:manualLayout>
          </c:layout>
          <c:overlay val="false"/>
          <c:spPr>
            <a:noFill/>
            <a:ln>
              <a:noFill/>
            </a:ln>
            <a:effectLst/>
          </c:spPr>
          <c:txPr>
            <a:bodyPr rot="-5400000" spcFirstLastPara="0" vertOverflow="ellipsis" vert="horz" wrap="square" anchor="ctr" anchorCtr="true"/>
            <a:lstStyle/>
            <a:p>
              <a:pPr>
                <a:defRPr lang="zh-CN" sz="1000" b="0" i="0" u="none" strike="noStrike" kern="1200" baseline="0">
                  <a:solidFill>
                    <a:schemeClr val="tx1">
                      <a:lumMod val="65000"/>
                      <a:lumOff val="35000"/>
                    </a:schemeClr>
                  </a:solidFill>
                  <a:latin typeface="+mn-lt"/>
                  <a:ea typeface="+mn-ea"/>
                  <a:cs typeface="+mn-cs"/>
                </a:defRPr>
              </a:pPr>
            </a:p>
          </c:txPr>
        </c:title>
        <c:numFmt formatCode="General"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3687168"/>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prstDash val="solid"/>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一般公共预算财政拨款支出决算变动情况</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164444444444444"/>
          <c:y val="0.0486111111111111"/>
        </c:manualLayout>
      </c:layout>
      <c:overlay val="false"/>
      <c:spPr>
        <a:noFill/>
        <a:ln>
          <a:noFill/>
        </a:ln>
        <a:effectLst/>
      </c:spPr>
    </c:title>
    <c:autoTitleDeleted val="false"/>
    <c:plotArea>
      <c:layout/>
      <c:barChart>
        <c:barDir val="col"/>
        <c:grouping val="clustered"/>
        <c:varyColors val="false"/>
        <c:ser>
          <c:idx val="0"/>
          <c:order val="0"/>
          <c:tx>
            <c:strRef>
              <c:f>一般公共预算财政拨款支出决算变动情况!$A$2</c:f>
              <c:strCache>
                <c:ptCount val="1"/>
                <c:pt idx="0">
                  <c:v>一般公共预算财政拨款支出</c:v>
                </c:pt>
              </c:strCache>
            </c:strRef>
          </c:tx>
          <c:spPr>
            <a:solidFill>
              <a:schemeClr val="accent1"/>
            </a:solidFill>
            <a:ln>
              <a:noFill/>
            </a:ln>
            <a:effectLst/>
          </c:spPr>
          <c:invertIfNegative val="false"/>
          <c:dLbls>
            <c:delete val="true"/>
          </c:dLbls>
          <c:cat>
            <c:strRef>
              <c:f>一般公共预算财政拨款支出决算变动情况!$B$1:$C$1</c:f>
              <c:strCache>
                <c:ptCount val="2"/>
                <c:pt idx="0">
                  <c:v>2024年</c:v>
                </c:pt>
                <c:pt idx="1">
                  <c:v>2025年</c:v>
                </c:pt>
              </c:strCache>
            </c:strRef>
          </c:cat>
          <c:val>
            <c:numRef>
              <c:f>一般公共预算财政拨款支出决算变动情况!$B$2:$C$2</c:f>
              <c:numCache>
                <c:formatCode>_(* #,##0.00_);_(* \(#,##0.00\);_(* "-"??_);_(@_)</c:formatCode>
                <c:ptCount val="2"/>
                <c:pt idx="0">
                  <c:v>1452.27</c:v>
                </c:pt>
                <c:pt idx="1">
                  <c:v>1466.04</c:v>
                </c:pt>
              </c:numCache>
            </c:numRef>
          </c:val>
        </c:ser>
        <c:ser>
          <c:idx val="1"/>
          <c:order val="1"/>
          <c:tx>
            <c:strRef>
              <c:f>一般公共预算财政拨款支出决算变动情况!$A$3</c:f>
              <c:strCache>
                <c:ptCount val="1"/>
                <c:pt idx="0">
                  <c:v>全年支出</c:v>
                </c:pt>
              </c:strCache>
            </c:strRef>
          </c:tx>
          <c:spPr>
            <a:solidFill>
              <a:schemeClr val="accent2"/>
            </a:solidFill>
            <a:ln>
              <a:noFill/>
            </a:ln>
            <a:effectLst/>
          </c:spPr>
          <c:invertIfNegative val="false"/>
          <c:dLbls>
            <c:delete val="true"/>
          </c:dLbls>
          <c:cat>
            <c:strRef>
              <c:f>一般公共预算财政拨款支出决算变动情况!$B$1:$C$1</c:f>
              <c:strCache>
                <c:ptCount val="2"/>
                <c:pt idx="0">
                  <c:v>2024年</c:v>
                </c:pt>
                <c:pt idx="1">
                  <c:v>2025年</c:v>
                </c:pt>
              </c:strCache>
            </c:strRef>
          </c:cat>
          <c:val>
            <c:numRef>
              <c:f>一般公共预算财政拨款支出决算变动情况!$B$3:$C$3</c:f>
              <c:numCache>
                <c:formatCode>_(* #,##0.00_);_(* \(#,##0.00\);_(* "-"??_);_(@_)</c:formatCode>
                <c:ptCount val="2"/>
                <c:pt idx="0">
                  <c:v>1524.48</c:v>
                </c:pt>
                <c:pt idx="1">
                  <c:v>1485.38</c:v>
                </c:pt>
              </c:numCache>
            </c:numRef>
          </c:val>
        </c:ser>
        <c:dLbls>
          <c:showLegendKey val="false"/>
          <c:showVal val="false"/>
          <c:showCatName val="false"/>
          <c:showSerName val="false"/>
          <c:showPercent val="false"/>
          <c:showBubbleSize val="false"/>
        </c:dLbls>
        <c:gapWidth val="150"/>
        <c:axId val="113703552"/>
        <c:axId val="117375360"/>
      </c:barChart>
      <c:catAx>
        <c:axId val="113703552"/>
        <c:scaling>
          <c:orientation val="minMax"/>
        </c:scaling>
        <c:delete val="false"/>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7375360"/>
        <c:crosses val="autoZero"/>
        <c:auto val="true"/>
        <c:lblAlgn val="ctr"/>
        <c:lblOffset val="100"/>
        <c:noMultiLvlLbl val="false"/>
      </c:catAx>
      <c:valAx>
        <c:axId val="117375360"/>
        <c:scaling>
          <c:orientation val="minMax"/>
        </c:scaling>
        <c:delete val="false"/>
        <c:axPos val="l"/>
        <c:majorGridlines>
          <c:spPr>
            <a:ln w="9525" cap="flat" cmpd="sng" algn="ctr">
              <a:solidFill>
                <a:schemeClr val="tx1">
                  <a:lumMod val="15000"/>
                  <a:lumOff val="85000"/>
                </a:schemeClr>
              </a:solidFill>
              <a:prstDash val="solid"/>
              <a:round/>
            </a:ln>
            <a:effectLst/>
          </c:spPr>
        </c:majorGridlines>
        <c:numFmt formatCode="_(* #,##0.00_);_(* \(#,##0.00\);_(* &quot;-&quot;??_);_(@_)" sourceLinked="true"/>
        <c:majorTickMark val="none"/>
        <c:minorTickMark val="none"/>
        <c:tickLblPos val="nextTo"/>
        <c:spPr>
          <a:noFill/>
          <a:ln w="6350" cap="flat" cmpd="sng" algn="ctr">
            <a:noFill/>
            <a:prstDash val="solid"/>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13703552"/>
        <c:crosses val="autoZero"/>
        <c:crossBetween val="between"/>
      </c:valAx>
      <c:dTable>
        <c:showHorzBorder val="true"/>
        <c:showVertBorder val="true"/>
        <c:showOutline val="true"/>
        <c:showKeys val="true"/>
        <c:spPr>
          <a:noFill/>
          <a:ln w="9525" cap="flat" cmpd="sng" algn="ctr">
            <a:solidFill>
              <a:schemeClr val="tx1">
                <a:lumMod val="15000"/>
                <a:lumOff val="85000"/>
              </a:schemeClr>
            </a:solidFill>
            <a:prstDash val="solid"/>
            <a:round/>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一般公共预算财政拨款支出决算结构</a:t>
            </a:r>
            <a:endParaRPr lang="zh-CN" altLang="en-US"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false"/>
      <c:spPr>
        <a:noFill/>
        <a:ln>
          <a:noFill/>
        </a:ln>
        <a:effectLst/>
      </c:spPr>
    </c:title>
    <c:autoTitleDeleted val="false"/>
    <c:plotArea>
      <c:layout>
        <c:manualLayout>
          <c:layoutTarget val="inner"/>
          <c:xMode val="edge"/>
          <c:yMode val="edge"/>
          <c:x val="0.218344453126565"/>
          <c:y val="0.231158770946983"/>
          <c:w val="0.499698062551341"/>
          <c:h val="0.643135217234902"/>
        </c:manualLayout>
      </c:layout>
      <c:pieChart>
        <c:varyColors val="true"/>
        <c:ser>
          <c:idx val="0"/>
          <c:order val="0"/>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Lbl>
              <c:idx val="1"/>
              <c:layout>
                <c:manualLayout>
                  <c:x val="-0.0162766139944479"/>
                  <c:y val="0.0206608428988367"/>
                </c:manualLayout>
              </c:layout>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dLbl>
              <c:idx val="2"/>
              <c:layout>
                <c:manualLayout>
                  <c:x val="-0.0206953796275725"/>
                  <c:y val="-0.0119017061719123"/>
                </c:manualLayout>
              </c:layout>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dLbl>
              <c:idx val="3"/>
              <c:layout>
                <c:manualLayout>
                  <c:x val="0.206677571729644"/>
                  <c:y val="0.020722629890488"/>
                </c:manualLayout>
              </c:layout>
              <c:dLblPos val="bestFit"/>
              <c:showLegendKey val="false"/>
              <c:showVal val="true"/>
              <c:showCatName val="tru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tru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一般公共预算财政拨款支出决算结构!$A$1:$A$4</c:f>
              <c:strCache>
                <c:ptCount val="4"/>
                <c:pt idx="0">
                  <c:v>一般公共服务支出</c:v>
                </c:pt>
                <c:pt idx="1">
                  <c:v>社会保障和就业支出</c:v>
                </c:pt>
                <c:pt idx="2">
                  <c:v>卫生健康支出</c:v>
                </c:pt>
                <c:pt idx="3">
                  <c:v>住房保障支出</c:v>
                </c:pt>
              </c:strCache>
            </c:strRef>
          </c:cat>
          <c:val>
            <c:numRef>
              <c:f>一般公共预算财政拨款支出决算结构!$B$1:$B$4</c:f>
              <c:numCache>
                <c:formatCode>0.00%</c:formatCode>
                <c:ptCount val="4"/>
                <c:pt idx="0">
                  <c:v>0.759283512046056</c:v>
                </c:pt>
                <c:pt idx="1">
                  <c:v>0.135862595836403</c:v>
                </c:pt>
                <c:pt idx="2">
                  <c:v>0.0444940110774604</c:v>
                </c:pt>
                <c:pt idx="3">
                  <c:v>0.0603598810400807</c:v>
                </c:pt>
              </c:numCache>
            </c:numRef>
          </c:val>
        </c:ser>
        <c:dLbls>
          <c:showLegendKey val="false"/>
          <c:showVal val="false"/>
          <c:showCatName val="true"/>
          <c:showSerName val="false"/>
          <c:showPercent val="true"/>
          <c:showBubbleSize val="false"/>
          <c:showLeaderLines val="true"/>
        </c:dLbls>
        <c:firstSliceAng val="0"/>
      </c:pieChart>
      <c:spPr>
        <a:noFill/>
        <a:ln>
          <a:noFill/>
        </a:ln>
        <a:effectLst/>
      </c:spPr>
    </c:plotArea>
    <c:legend>
      <c:legendPos val="b"/>
      <c:layout>
        <c:manualLayout>
          <c:xMode val="edge"/>
          <c:yMode val="edge"/>
          <c:x val="0.0577032404775441"/>
          <c:y val="0.878515858767205"/>
          <c:w val="0.899943149516771"/>
          <c:h val="0.101336525034909"/>
        </c:manualLayout>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r>
              <a:rPr lang="zh-CN" altLang="zh-CN" sz="1400" b="0" i="0" u="none" strike="noStrike" baseline="0">
                <a:effectLst/>
              </a:rPr>
              <a:t>“三公”经费财政拨款支出结构</a:t>
            </a:r>
            <a:r>
              <a:rPr lang="zh-CN" altLang="en-US" sz="1400" b="0" i="0" u="none" strike="noStrike" baseline="0">
                <a:effectLst/>
              </a:rPr>
              <a:t>图</a:t>
            </a:r>
            <a:endParaRPr lang="zh-CN" altLang="en-US"/>
          </a:p>
        </c:rich>
      </c:tx>
      <c:layout/>
      <c:overlay val="false"/>
      <c:spPr>
        <a:noFill/>
        <a:ln>
          <a:noFill/>
        </a:ln>
        <a:effectLst/>
      </c:spPr>
    </c:title>
    <c:autoTitleDeleted val="false"/>
    <c:plotArea>
      <c:layout/>
      <c:pieChart>
        <c:varyColors val="true"/>
        <c:ser>
          <c:idx val="0"/>
          <c:order val="0"/>
          <c:tx>
            <c:strRef>
              <c:f>“三公”经费财政拨款支出结构!$B$1</c:f>
              <c:strCache>
                <c:ptCount val="1"/>
                <c:pt idx="0">
                  <c:v>金额</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dPt>
          <c:dLbls>
            <c:dLbl>
              <c:idx val="0"/>
              <c:layout>
                <c:manualLayout>
                  <c:x val="-0.0470172790901137"/>
                  <c:y val="-0.23744276757072"/>
                </c:manualLayout>
              </c:layout>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1"/>
              <c:layout>
                <c:manualLayout>
                  <c:x val="-0.167156573835436"/>
                  <c:y val="0.132259405074366"/>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公务用车运行维护费支出
</a:t>
                    </a:r>
                    <a:r>
                      <a:rPr lang="en-US" altLang="zh-CN"/>
                      <a:t>4.2%</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dLbl>
              <c:idx val="2"/>
              <c:layout>
                <c:manualLayout>
                  <c:x val="0.183307873906402"/>
                  <c:y val="0.0972222222222222"/>
                </c:manualLayout>
              </c:layout>
              <c:tx>
                <c:rich>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r>
                      <a:rPr lang="zh-CN" altLang="en-US"/>
                      <a:t>公务接待费</a:t>
                    </a:r>
                    <a:endParaRPr lang="en-US" altLang="zh-CN"/>
                  </a:p>
                  <a:p>
                    <a:pPr>
                      <a:defRPr lang="zh-CN" sz="1000" b="0" i="0" u="none" strike="noStrike" kern="1200" baseline="0">
                        <a:solidFill>
                          <a:schemeClr val="tx1"/>
                        </a:solidFill>
                        <a:latin typeface="+mn-lt"/>
                        <a:ea typeface="+mn-ea"/>
                        <a:cs typeface="+mn-cs"/>
                      </a:defRPr>
                    </a:pPr>
                    <a:r>
                      <a:rPr lang="zh-CN" altLang="en-US"/>
                      <a:t>支出
</a:t>
                    </a:r>
                    <a:r>
                      <a:rPr lang="en-US" altLang="zh-CN"/>
                      <a:t>1.92%</a:t>
                    </a:r>
                    <a:endParaRPr lang="zh-CN" altLang="en-US"/>
                  </a:p>
                </c:rich>
              </c:tx>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0.00%" sourceLinked="false"/>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tru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“三公”经费财政拨款支出结构!$A$2:$A$4</c:f>
              <c:strCache>
                <c:ptCount val="3"/>
                <c:pt idx="0">
                  <c:v>公务用车购置支出</c:v>
                </c:pt>
                <c:pt idx="1">
                  <c:v>公务用车运行维护费支出</c:v>
                </c:pt>
                <c:pt idx="2">
                  <c:v>公务接待费支出</c:v>
                </c:pt>
              </c:strCache>
            </c:strRef>
          </c:cat>
          <c:val>
            <c:numRef>
              <c:f>“三公”经费财政拨款支出结构!$B$2:$B$4</c:f>
              <c:numCache>
                <c:formatCode>General</c:formatCode>
                <c:ptCount val="3"/>
                <c:pt idx="0">
                  <c:v>25</c:v>
                </c:pt>
                <c:pt idx="1">
                  <c:v>1.12</c:v>
                </c:pt>
                <c:pt idx="2">
                  <c:v>0.51</c:v>
                </c:pt>
              </c:numCache>
            </c:numRef>
          </c:val>
        </c:ser>
        <c:ser>
          <c:idx val="1"/>
          <c:order val="1"/>
          <c:tx>
            <c:strRef>
              <c:f>“三公”经费财政拨款支出结构!$C$1</c:f>
              <c:strCache>
                <c:ptCount val="1"/>
                <c:pt idx="0">
                  <c:v>列1</c:v>
                </c:pt>
              </c:strCache>
            </c:strRef>
          </c:tx>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strRef>
              <c:f>“三公”经费财政拨款支出结构!$A$2:$A$4</c:f>
              <c:strCache>
                <c:ptCount val="3"/>
                <c:pt idx="0">
                  <c:v>公务用车购置支出</c:v>
                </c:pt>
                <c:pt idx="1">
                  <c:v>公务用车运行维护费支出</c:v>
                </c:pt>
                <c:pt idx="2">
                  <c:v>公务接待费支出</c:v>
                </c:pt>
              </c:strCache>
            </c:strRef>
          </c:cat>
          <c:val>
            <c:numRef>
              <c:f>“三公”经费财政拨款支出结构!$C$2:$C$4</c:f>
              <c:numCache>
                <c:formatCode>0.0000_ </c:formatCode>
                <c:ptCount val="3"/>
                <c:pt idx="0">
                  <c:v>0.938790837401427</c:v>
                </c:pt>
                <c:pt idx="1">
                  <c:v>0.0420578295155839</c:v>
                </c:pt>
                <c:pt idx="2">
                  <c:v>0.0191513330829891</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33</Pages>
  <Words>2092</Words>
  <Characters>11927</Characters>
  <Lines>99</Lines>
  <Paragraphs>27</Paragraphs>
  <TotalTime>17</TotalTime>
  <ScaleCrop>false</ScaleCrop>
  <LinksUpToDate>false</LinksUpToDate>
  <CharactersWithSpaces>13992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2025-09-12T06:49:00Z</dcterms:created>
  <dc:creator>曹颖</dc:creator>
  <cp:lastModifiedBy>user</cp:lastModifiedBy>
  <cp:lastPrinted>2026-09-06T15:42:00Z</cp:lastPrinted>
  <dcterms:modified xsi:type="dcterms:W3CDTF">2026-09-09T17:21:07Z</dcterms:modified>
  <dc:title>四川省***</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04787F2533EB45DC91BCDE4AB213247F</vt:lpwstr>
  </property>
</Properties>
</file>